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E5C" w:rsidRPr="00E72E5C" w:rsidRDefault="00E72E5C" w:rsidP="00E72E5C">
      <w:pPr>
        <w:pStyle w:val="Kopfzeile"/>
        <w:tabs>
          <w:tab w:val="clear" w:pos="4536"/>
          <w:tab w:val="clear" w:pos="9072"/>
        </w:tabs>
        <w:snapToGrid w:val="0"/>
        <w:jc w:val="both"/>
        <w:rPr>
          <w:rFonts w:cs="Arial"/>
          <w:b/>
          <w:szCs w:val="24"/>
        </w:rPr>
      </w:pPr>
      <w:r>
        <w:rPr>
          <w:rFonts w:cs="Arial"/>
          <w:b/>
          <w:noProof/>
          <w:szCs w:val="24"/>
          <w:lang w:eastAsia="de-DE"/>
        </w:rPr>
        <w:drawing>
          <wp:anchor distT="0" distB="0" distL="114300" distR="114300" simplePos="0" relativeHeight="251658240" behindDoc="0" locked="0" layoutInCell="1" allowOverlap="1">
            <wp:simplePos x="0" y="0"/>
            <wp:positionH relativeFrom="column">
              <wp:posOffset>3691255</wp:posOffset>
            </wp:positionH>
            <wp:positionV relativeFrom="paragraph">
              <wp:posOffset>109855</wp:posOffset>
            </wp:positionV>
            <wp:extent cx="2095500" cy="723900"/>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95500" cy="723900"/>
                    </a:xfrm>
                    <a:prstGeom prst="rect">
                      <a:avLst/>
                    </a:prstGeom>
                    <a:solidFill>
                      <a:srgbClr val="FFFFFF"/>
                    </a:solidFill>
                    <a:ln w="9525">
                      <a:noFill/>
                      <a:miter lim="800000"/>
                      <a:headEnd/>
                      <a:tailEnd/>
                    </a:ln>
                  </pic:spPr>
                </pic:pic>
              </a:graphicData>
            </a:graphic>
          </wp:anchor>
        </w:drawing>
      </w:r>
    </w:p>
    <w:p w:rsidR="00E72E5C" w:rsidRPr="00E72E5C" w:rsidRDefault="00E72E5C" w:rsidP="00E72E5C">
      <w:pPr>
        <w:pStyle w:val="Kopfzeile"/>
        <w:tabs>
          <w:tab w:val="clear" w:pos="4536"/>
          <w:tab w:val="clear" w:pos="9072"/>
        </w:tabs>
        <w:snapToGrid w:val="0"/>
        <w:jc w:val="both"/>
        <w:rPr>
          <w:rFonts w:cs="Arial"/>
          <w:b/>
          <w:szCs w:val="24"/>
        </w:rPr>
      </w:pPr>
      <w:r w:rsidRPr="00E72E5C">
        <w:rPr>
          <w:rFonts w:cs="Arial"/>
          <w:b/>
          <w:szCs w:val="24"/>
        </w:rPr>
        <w:t>Carl Warrlich GmbH</w:t>
      </w:r>
    </w:p>
    <w:p w:rsidR="00E72E5C" w:rsidRDefault="00E72E5C" w:rsidP="00E72E5C">
      <w:pPr>
        <w:pStyle w:val="Kopfzeile"/>
        <w:tabs>
          <w:tab w:val="clear" w:pos="4536"/>
          <w:tab w:val="clear" w:pos="9072"/>
        </w:tabs>
        <w:snapToGrid w:val="0"/>
        <w:jc w:val="both"/>
        <w:rPr>
          <w:rFonts w:cs="Arial"/>
          <w:sz w:val="18"/>
          <w:szCs w:val="1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40"/>
          <w:szCs w:val="40"/>
        </w:rPr>
      </w:pPr>
      <w:r w:rsidRPr="00030304">
        <w:rPr>
          <w:rFonts w:asciiTheme="minorHAnsi" w:hAnsiTheme="minorHAnsi" w:cstheme="minorHAnsi"/>
          <w:sz w:val="40"/>
          <w:szCs w:val="40"/>
        </w:rPr>
        <w:t>Presse-Mitteilung</w:t>
      </w:r>
      <w:r w:rsidR="00737BD3">
        <w:rPr>
          <w:rFonts w:asciiTheme="minorHAnsi" w:hAnsiTheme="minorHAnsi" w:cstheme="minorHAnsi"/>
          <w:sz w:val="40"/>
          <w:szCs w:val="40"/>
        </w:rPr>
        <w:t xml:space="preserve"> 1/201</w:t>
      </w:r>
      <w:r w:rsidR="00EC22BD">
        <w:rPr>
          <w:rFonts w:asciiTheme="minorHAnsi" w:hAnsiTheme="minorHAnsi" w:cstheme="minorHAnsi"/>
          <w:sz w:val="40"/>
          <w:szCs w:val="40"/>
        </w:rPr>
        <w:t>8</w:t>
      </w:r>
    </w:p>
    <w:p w:rsidR="00E72E5C" w:rsidRPr="003F589E" w:rsidRDefault="00E72E5C" w:rsidP="00E72E5C">
      <w:pPr>
        <w:pStyle w:val="Kopfzeile"/>
        <w:tabs>
          <w:tab w:val="clear" w:pos="4536"/>
          <w:tab w:val="clear" w:pos="9072"/>
        </w:tabs>
        <w:snapToGrid w:val="0"/>
        <w:jc w:val="both"/>
        <w:rPr>
          <w:rFonts w:asciiTheme="minorHAnsi" w:hAnsiTheme="minorHAnsi" w:cstheme="minorHAnsi"/>
          <w:color w:val="FF0000"/>
          <w:sz w:val="28"/>
          <w:szCs w:val="2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Cs w:val="24"/>
        </w:rPr>
      </w:pPr>
    </w:p>
    <w:p w:rsidR="00E72E5C" w:rsidRPr="00A84898" w:rsidRDefault="008A33CD" w:rsidP="00E72E5C">
      <w:pPr>
        <w:pStyle w:val="Kopfzeile"/>
        <w:tabs>
          <w:tab w:val="clear" w:pos="4536"/>
          <w:tab w:val="clear" w:pos="9072"/>
        </w:tabs>
        <w:snapToGrid w:val="0"/>
        <w:jc w:val="both"/>
        <w:rPr>
          <w:rFonts w:asciiTheme="minorHAnsi" w:hAnsiTheme="minorHAnsi" w:cstheme="minorHAnsi"/>
          <w:sz w:val="22"/>
          <w:szCs w:val="22"/>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sidR="00054AE5">
        <w:rPr>
          <w:rFonts w:asciiTheme="minorHAnsi" w:hAnsiTheme="minorHAnsi" w:cstheme="minorHAnsi"/>
          <w:szCs w:val="24"/>
        </w:rPr>
        <w:t xml:space="preserve"> </w:t>
      </w:r>
      <w:r w:rsidR="00643732">
        <w:rPr>
          <w:rFonts w:asciiTheme="minorHAnsi" w:hAnsiTheme="minorHAnsi" w:cstheme="minorHAnsi"/>
          <w:sz w:val="22"/>
          <w:szCs w:val="22"/>
        </w:rPr>
        <w:t>Crans-Montana</w:t>
      </w:r>
      <w:r w:rsidR="007D6A90">
        <w:rPr>
          <w:rFonts w:asciiTheme="minorHAnsi" w:hAnsiTheme="minorHAnsi" w:cstheme="minorHAnsi"/>
          <w:sz w:val="22"/>
          <w:szCs w:val="22"/>
        </w:rPr>
        <w:t xml:space="preserve">, den </w:t>
      </w:r>
      <w:r w:rsidR="00EC22BD">
        <w:rPr>
          <w:rFonts w:asciiTheme="minorHAnsi" w:hAnsiTheme="minorHAnsi" w:cstheme="minorHAnsi"/>
          <w:sz w:val="22"/>
          <w:szCs w:val="22"/>
        </w:rPr>
        <w:t>16. Januar 2018</w:t>
      </w: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Default="00E72E5C" w:rsidP="00E72E5C">
      <w:pPr>
        <w:pStyle w:val="Kopfzeile"/>
        <w:tabs>
          <w:tab w:val="clear" w:pos="4536"/>
          <w:tab w:val="clear" w:pos="9072"/>
        </w:tabs>
        <w:snapToGrid w:val="0"/>
        <w:jc w:val="both"/>
        <w:rPr>
          <w:rFonts w:cs="Arial"/>
          <w:szCs w:val="24"/>
        </w:rPr>
      </w:pPr>
    </w:p>
    <w:p w:rsidR="002C48A9" w:rsidRDefault="002C48A9" w:rsidP="00E72E5C">
      <w:pPr>
        <w:pStyle w:val="Kopfzeile"/>
        <w:tabs>
          <w:tab w:val="clear" w:pos="4536"/>
          <w:tab w:val="clear" w:pos="9072"/>
        </w:tabs>
        <w:snapToGrid w:val="0"/>
        <w:jc w:val="both"/>
        <w:rPr>
          <w:rFonts w:cs="Arial"/>
          <w:szCs w:val="24"/>
        </w:rPr>
      </w:pPr>
    </w:p>
    <w:p w:rsidR="003B545B" w:rsidRPr="00E55CE5" w:rsidRDefault="003B545B" w:rsidP="00E72E5C">
      <w:pPr>
        <w:pStyle w:val="Kopfzeile"/>
        <w:tabs>
          <w:tab w:val="clear" w:pos="4536"/>
          <w:tab w:val="clear" w:pos="9072"/>
        </w:tabs>
        <w:snapToGrid w:val="0"/>
        <w:jc w:val="both"/>
        <w:rPr>
          <w:rFonts w:cs="Arial"/>
          <w:szCs w:val="24"/>
        </w:rPr>
      </w:pPr>
    </w:p>
    <w:p w:rsidR="009C4E29" w:rsidRPr="002C48A9" w:rsidRDefault="005F436A" w:rsidP="007B0834">
      <w:pPr>
        <w:snapToGrid w:val="0"/>
        <w:spacing w:line="300" w:lineRule="atLeast"/>
        <w:ind w:right="58"/>
        <w:jc w:val="both"/>
        <w:rPr>
          <w:rFonts w:cstheme="minorHAnsi"/>
          <w:iCs/>
        </w:rPr>
      </w:pPr>
      <w:r w:rsidRPr="002C48A9">
        <w:rPr>
          <w:rFonts w:cstheme="minorHAnsi"/>
          <w:iCs/>
        </w:rPr>
        <w:t xml:space="preserve">Carl Warrlich </w:t>
      </w:r>
      <w:r w:rsidR="00280CED" w:rsidRPr="002C48A9">
        <w:rPr>
          <w:rFonts w:cstheme="minorHAnsi"/>
          <w:iCs/>
        </w:rPr>
        <w:t xml:space="preserve">GmbH: </w:t>
      </w:r>
    </w:p>
    <w:p w:rsidR="00EC22BD" w:rsidRDefault="00146C39" w:rsidP="00EC22BD">
      <w:pPr>
        <w:snapToGrid w:val="0"/>
        <w:spacing w:line="300" w:lineRule="atLeast"/>
        <w:ind w:right="58"/>
        <w:jc w:val="both"/>
        <w:rPr>
          <w:rFonts w:cs="Arial"/>
          <w:b/>
          <w:iCs/>
          <w:sz w:val="24"/>
          <w:szCs w:val="24"/>
        </w:rPr>
      </w:pPr>
      <w:r>
        <w:rPr>
          <w:rFonts w:cs="Arial"/>
          <w:b/>
          <w:iCs/>
          <w:sz w:val="24"/>
          <w:szCs w:val="24"/>
        </w:rPr>
        <w:t xml:space="preserve">Warrlich: Gesundes Grillieren </w:t>
      </w:r>
      <w:r w:rsidR="00643732">
        <w:rPr>
          <w:rFonts w:cs="Arial"/>
          <w:b/>
          <w:iCs/>
          <w:sz w:val="24"/>
          <w:szCs w:val="24"/>
        </w:rPr>
        <w:t>mit Öko-Anzündern</w:t>
      </w:r>
    </w:p>
    <w:p w:rsidR="00146C39" w:rsidRPr="00964BAB" w:rsidRDefault="00146C39" w:rsidP="00146C39">
      <w:pPr>
        <w:snapToGrid w:val="0"/>
        <w:spacing w:line="300" w:lineRule="atLeast"/>
        <w:ind w:right="58"/>
        <w:jc w:val="both"/>
        <w:rPr>
          <w:rFonts w:cstheme="minorHAnsi"/>
          <w:iCs/>
          <w:sz w:val="24"/>
          <w:szCs w:val="24"/>
        </w:rPr>
      </w:pPr>
      <w:r w:rsidRPr="00964BAB">
        <w:rPr>
          <w:rFonts w:cstheme="minorHAnsi"/>
          <w:iCs/>
          <w:sz w:val="24"/>
          <w:szCs w:val="24"/>
        </w:rPr>
        <w:t xml:space="preserve">Mit neuen praktischen Anzündhilfen für </w:t>
      </w:r>
      <w:r w:rsidR="00665AF6" w:rsidRPr="00964BAB">
        <w:rPr>
          <w:rFonts w:cstheme="minorHAnsi"/>
          <w:iCs/>
          <w:sz w:val="24"/>
          <w:szCs w:val="24"/>
        </w:rPr>
        <w:t>Cheminée</w:t>
      </w:r>
      <w:r w:rsidRPr="00964BAB">
        <w:rPr>
          <w:rFonts w:cstheme="minorHAnsi"/>
          <w:iCs/>
          <w:sz w:val="24"/>
          <w:szCs w:val="24"/>
        </w:rPr>
        <w:t xml:space="preserve"> und Grill sorgt die Carl Warrlich GmbH rechtzeitig vor dem Start in die </w:t>
      </w:r>
      <w:r w:rsidR="00665AF6" w:rsidRPr="00964BAB">
        <w:rPr>
          <w:rFonts w:cstheme="minorHAnsi"/>
          <w:iCs/>
          <w:sz w:val="24"/>
          <w:szCs w:val="24"/>
        </w:rPr>
        <w:t>neue Gartensaison</w:t>
      </w:r>
      <w:r w:rsidRPr="00964BAB">
        <w:rPr>
          <w:rFonts w:cstheme="minorHAnsi"/>
          <w:iCs/>
          <w:sz w:val="24"/>
          <w:szCs w:val="24"/>
        </w:rPr>
        <w:t xml:space="preserve"> für Zuwachs in der Familie der ökologischen Feueranzünder. Das Unternehmen zählt zu den</w:t>
      </w:r>
      <w:r w:rsidR="00665AF6" w:rsidRPr="00964BAB">
        <w:rPr>
          <w:rFonts w:cstheme="minorHAnsi"/>
          <w:iCs/>
          <w:sz w:val="24"/>
          <w:szCs w:val="24"/>
        </w:rPr>
        <w:t xml:space="preserve"> globalen</w:t>
      </w:r>
      <w:r w:rsidRPr="00964BAB">
        <w:rPr>
          <w:rFonts w:cstheme="minorHAnsi"/>
          <w:iCs/>
          <w:sz w:val="24"/>
          <w:szCs w:val="24"/>
        </w:rPr>
        <w:t xml:space="preserve"> Marktführern im Bereich der Anzündhilfen für Grill</w:t>
      </w:r>
      <w:r w:rsidR="00665AF6" w:rsidRPr="00964BAB">
        <w:rPr>
          <w:rFonts w:cstheme="minorHAnsi"/>
          <w:iCs/>
          <w:sz w:val="24"/>
          <w:szCs w:val="24"/>
        </w:rPr>
        <w:t>s</w:t>
      </w:r>
      <w:r w:rsidRPr="00964BAB">
        <w:rPr>
          <w:rFonts w:cstheme="minorHAnsi"/>
          <w:iCs/>
          <w:sz w:val="24"/>
          <w:szCs w:val="24"/>
        </w:rPr>
        <w:t xml:space="preserve"> und </w:t>
      </w:r>
      <w:r w:rsidR="00665AF6" w:rsidRPr="00964BAB">
        <w:rPr>
          <w:rFonts w:cstheme="minorHAnsi"/>
          <w:iCs/>
          <w:sz w:val="24"/>
          <w:szCs w:val="24"/>
        </w:rPr>
        <w:t xml:space="preserve">Cheminées </w:t>
      </w:r>
      <w:r w:rsidRPr="00964BAB">
        <w:rPr>
          <w:rFonts w:cstheme="minorHAnsi"/>
          <w:iCs/>
          <w:sz w:val="24"/>
          <w:szCs w:val="24"/>
        </w:rPr>
        <w:t xml:space="preserve">und hat in den vergangenen Jahren seine Linie der Öko-Anzünder Schritt für Schritt ausgebaut. </w:t>
      </w:r>
    </w:p>
    <w:p w:rsidR="00665AF6" w:rsidRPr="00964BAB" w:rsidRDefault="00665AF6" w:rsidP="00146C39">
      <w:pPr>
        <w:snapToGrid w:val="0"/>
        <w:spacing w:line="300" w:lineRule="atLeast"/>
        <w:ind w:right="58"/>
        <w:jc w:val="both"/>
        <w:rPr>
          <w:rFonts w:cstheme="minorHAnsi"/>
          <w:iCs/>
          <w:sz w:val="24"/>
          <w:szCs w:val="24"/>
        </w:rPr>
      </w:pPr>
      <w:r w:rsidRPr="00964BAB">
        <w:rPr>
          <w:rFonts w:cstheme="minorHAnsi"/>
          <w:iCs/>
          <w:sz w:val="24"/>
          <w:szCs w:val="24"/>
        </w:rPr>
        <w:t xml:space="preserve">Diese steigende Nachfrage nach Öko-Anzündern für den Grill beantwortet das Unternehmen mit hochwertigen Produkten, die über hohe Zündkraft und ausgezeichnete Brenneigenschaften verfügen. Ein regelrechtes Umsatzfeuerwerk im Handel entfachen die sogenannten WARRLICH Holzwolle-Anzünder. Sie werden auf Basis nachwachsender Rohstoffe hergestellt. Dazu werden Holzspäne zu kleinen Rollen aufgedreht und mit hochwertigem natürlichem Wachs getränkt. So gelingt das schnelle, einfache und noch dazu absolut sichere Entzünden für jeden Brennstoff. </w:t>
      </w:r>
    </w:p>
    <w:p w:rsidR="00665AF6" w:rsidRPr="00964BAB" w:rsidRDefault="00665AF6" w:rsidP="00146C39">
      <w:pPr>
        <w:snapToGrid w:val="0"/>
        <w:spacing w:line="300" w:lineRule="atLeast"/>
        <w:ind w:right="58"/>
        <w:jc w:val="both"/>
        <w:rPr>
          <w:rFonts w:cstheme="minorHAnsi"/>
          <w:iCs/>
          <w:sz w:val="24"/>
          <w:szCs w:val="24"/>
        </w:rPr>
      </w:pPr>
      <w:r w:rsidRPr="00964BAB">
        <w:rPr>
          <w:rFonts w:cstheme="minorHAnsi"/>
          <w:iCs/>
          <w:sz w:val="24"/>
          <w:szCs w:val="24"/>
        </w:rPr>
        <w:t>Die so genannten WARRLICH „Holzwolle-Mäuse“</w:t>
      </w:r>
      <w:r w:rsidR="00964BAB" w:rsidRPr="00964BAB">
        <w:rPr>
          <w:rFonts w:cstheme="minorHAnsi"/>
          <w:iCs/>
          <w:sz w:val="24"/>
          <w:szCs w:val="24"/>
        </w:rPr>
        <w:t xml:space="preserve"> aus</w:t>
      </w:r>
      <w:r w:rsidRPr="00964BAB">
        <w:rPr>
          <w:rFonts w:cstheme="minorHAnsi"/>
          <w:iCs/>
          <w:sz w:val="24"/>
          <w:szCs w:val="24"/>
        </w:rPr>
        <w:t xml:space="preserve"> </w:t>
      </w:r>
      <w:r w:rsidR="00964BAB" w:rsidRPr="00964BAB">
        <w:rPr>
          <w:rFonts w:eastAsia="Calibri" w:cstheme="minorHAnsi"/>
          <w:iCs/>
          <w:sz w:val="24"/>
          <w:szCs w:val="24"/>
        </w:rPr>
        <w:t>reinen Naturprodukten sind geruchlos, verbrennen ohne jeden Rückstand und ganz ohne jegliche</w:t>
      </w:r>
      <w:r w:rsidR="00964BAB" w:rsidRPr="00CA588E">
        <w:rPr>
          <w:rFonts w:eastAsia="Calibri" w:cstheme="minorHAnsi"/>
          <w:iCs/>
          <w:sz w:val="24"/>
          <w:szCs w:val="24"/>
          <w:lang w:val="de-CH"/>
        </w:rPr>
        <w:t xml:space="preserve"> Russentwicklung</w:t>
      </w:r>
      <w:r w:rsidR="00964BAB" w:rsidRPr="00964BAB">
        <w:rPr>
          <w:rFonts w:eastAsia="Calibri" w:cstheme="minorHAnsi"/>
          <w:iCs/>
          <w:sz w:val="24"/>
          <w:szCs w:val="24"/>
        </w:rPr>
        <w:t xml:space="preserve">. Geschmacksrückstände auf </w:t>
      </w:r>
      <w:r w:rsidR="00964BAB" w:rsidRPr="00964BAB">
        <w:rPr>
          <w:rFonts w:cstheme="minorHAnsi"/>
          <w:iCs/>
          <w:sz w:val="24"/>
          <w:szCs w:val="24"/>
        </w:rPr>
        <w:t>Fleisch- oder Wurstwaren, Gemüse und Fisch gehören somit der Vergangenheit an.</w:t>
      </w:r>
    </w:p>
    <w:p w:rsidR="00AE12F3" w:rsidRPr="00964BAB" w:rsidRDefault="00964BAB" w:rsidP="00AE12F3">
      <w:pPr>
        <w:snapToGrid w:val="0"/>
        <w:spacing w:line="300" w:lineRule="atLeast"/>
        <w:ind w:right="58"/>
        <w:jc w:val="both"/>
        <w:rPr>
          <w:rFonts w:cstheme="minorHAnsi"/>
          <w:sz w:val="24"/>
          <w:szCs w:val="24"/>
        </w:rPr>
      </w:pPr>
      <w:r w:rsidRPr="00964BAB">
        <w:rPr>
          <w:rFonts w:cstheme="minorHAnsi"/>
          <w:iCs/>
          <w:sz w:val="24"/>
          <w:szCs w:val="24"/>
        </w:rPr>
        <w:t>I</w:t>
      </w:r>
      <w:r>
        <w:rPr>
          <w:rFonts w:cstheme="minorHAnsi"/>
          <w:iCs/>
          <w:sz w:val="24"/>
          <w:szCs w:val="24"/>
        </w:rPr>
        <w:t xml:space="preserve">m </w:t>
      </w:r>
      <w:r w:rsidRPr="00964BAB">
        <w:rPr>
          <w:rFonts w:cstheme="minorHAnsi"/>
          <w:iCs/>
          <w:sz w:val="24"/>
          <w:szCs w:val="24"/>
        </w:rPr>
        <w:t>Handel zählen WARRLICH Holzwolle-Anzünder</w:t>
      </w:r>
      <w:r w:rsidRPr="00964BAB">
        <w:rPr>
          <w:rFonts w:cstheme="minorHAnsi"/>
          <w:color w:val="000000"/>
          <w:sz w:val="24"/>
          <w:szCs w:val="24"/>
          <w:shd w:val="clear" w:color="auto" w:fill="FFFFFF"/>
        </w:rPr>
        <w:t xml:space="preserve"> längst zu den sicheren Umsatzbringern. Denn auf Sicherheit bedachte und an der Umwelt interessierte Verbraucher greifen zunehmend zu diesen Anzündhilfen. Sie werden in </w:t>
      </w:r>
      <w:r w:rsidR="00CA588E" w:rsidRPr="00964BAB">
        <w:rPr>
          <w:rFonts w:cstheme="minorHAnsi"/>
          <w:color w:val="000000"/>
          <w:sz w:val="24"/>
          <w:szCs w:val="24"/>
          <w:shd w:val="clear" w:color="auto" w:fill="FFFFFF"/>
        </w:rPr>
        <w:t>den praktischen Faltschachteln</w:t>
      </w:r>
      <w:r w:rsidRPr="00964BAB">
        <w:rPr>
          <w:rFonts w:cstheme="minorHAnsi"/>
          <w:color w:val="000000"/>
          <w:sz w:val="24"/>
          <w:szCs w:val="24"/>
          <w:shd w:val="clear" w:color="auto" w:fill="FFFFFF"/>
        </w:rPr>
        <w:t xml:space="preserve"> zu je 23 Stück angeboten. </w:t>
      </w:r>
      <w:r>
        <w:rPr>
          <w:rFonts w:cstheme="minorHAnsi"/>
          <w:color w:val="000000"/>
          <w:sz w:val="24"/>
          <w:szCs w:val="24"/>
          <w:shd w:val="clear" w:color="auto" w:fill="FFFFFF"/>
        </w:rPr>
        <w:t xml:space="preserve">                                                                                                                    </w:t>
      </w:r>
      <w:r w:rsidR="002C48A9" w:rsidRPr="00964BAB">
        <w:rPr>
          <w:rFonts w:cstheme="minorHAnsi"/>
          <w:sz w:val="24"/>
          <w:szCs w:val="24"/>
        </w:rPr>
        <w:t xml:space="preserve"> </w:t>
      </w:r>
      <w:r w:rsidR="00AE12F3" w:rsidRPr="00964BAB">
        <w:rPr>
          <w:rFonts w:cstheme="minorHAnsi"/>
          <w:sz w:val="24"/>
          <w:szCs w:val="24"/>
        </w:rPr>
        <w:t>(Warrlich)</w:t>
      </w:r>
    </w:p>
    <w:p w:rsidR="003F675B" w:rsidRPr="002C48A9" w:rsidRDefault="00172757" w:rsidP="003F675B">
      <w:pPr>
        <w:snapToGrid w:val="0"/>
        <w:spacing w:line="300" w:lineRule="atLeast"/>
        <w:ind w:right="58"/>
        <w:jc w:val="both"/>
        <w:rPr>
          <w:rFonts w:cs="Arial"/>
        </w:rPr>
      </w:pPr>
      <w:r>
        <w:rPr>
          <w:rFonts w:ascii="Tahoma" w:eastAsia="Times New Roman" w:hAnsi="Tahoma" w:cs="Tahoma"/>
          <w:color w:val="000000"/>
        </w:rPr>
        <w:br/>
      </w:r>
      <w:r w:rsidR="003F675B" w:rsidRPr="002C48A9">
        <w:rPr>
          <w:rFonts w:ascii="Calibri" w:eastAsia="Calibri" w:hAnsi="Calibri" w:cs="Arial"/>
        </w:rPr>
        <w:t>Mehr Informationen unter www.warrlich.eu</w:t>
      </w:r>
    </w:p>
    <w:p w:rsidR="00AE12F3" w:rsidRDefault="00AE12F3" w:rsidP="00AE12F3">
      <w:pPr>
        <w:rPr>
          <w:color w:val="000000"/>
        </w:rPr>
      </w:pPr>
      <w:r>
        <w:rPr>
          <w:color w:val="000000"/>
        </w:rPr>
        <w:t> </w:t>
      </w:r>
    </w:p>
    <w:p w:rsidR="00771C80" w:rsidRDefault="00771C80" w:rsidP="00F90738">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3B545B" w:rsidRDefault="003B545B" w:rsidP="00997400">
      <w:pPr>
        <w:pStyle w:val="Kopfzeile"/>
        <w:tabs>
          <w:tab w:val="clear" w:pos="4536"/>
          <w:tab w:val="clear" w:pos="9072"/>
        </w:tabs>
        <w:snapToGrid w:val="0"/>
        <w:jc w:val="both"/>
        <w:rPr>
          <w:rFonts w:cs="Arial"/>
          <w:sz w:val="18"/>
          <w:szCs w:val="18"/>
        </w:rPr>
      </w:pPr>
    </w:p>
    <w:p w:rsidR="003B545B" w:rsidRDefault="003B545B" w:rsidP="00997400">
      <w:pPr>
        <w:pStyle w:val="Kopfzeile"/>
        <w:tabs>
          <w:tab w:val="clear" w:pos="4536"/>
          <w:tab w:val="clear" w:pos="9072"/>
        </w:tabs>
        <w:snapToGrid w:val="0"/>
        <w:jc w:val="both"/>
        <w:rPr>
          <w:rFonts w:cs="Arial"/>
          <w:sz w:val="18"/>
          <w:szCs w:val="18"/>
        </w:rPr>
      </w:pPr>
    </w:p>
    <w:p w:rsidR="003B545B" w:rsidRDefault="003B545B"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noProof/>
          <w:lang w:eastAsia="de-DE"/>
        </w:rPr>
      </w:pPr>
    </w:p>
    <w:p w:rsidR="008B30E7" w:rsidRDefault="008B30E7" w:rsidP="00997400">
      <w:pPr>
        <w:pStyle w:val="Kopfzeile"/>
        <w:tabs>
          <w:tab w:val="clear" w:pos="4536"/>
          <w:tab w:val="clear" w:pos="9072"/>
        </w:tabs>
        <w:snapToGrid w:val="0"/>
        <w:jc w:val="both"/>
        <w:rPr>
          <w:noProof/>
          <w:lang w:eastAsia="de-DE"/>
        </w:rPr>
      </w:pPr>
    </w:p>
    <w:p w:rsidR="008B30E7" w:rsidRDefault="008B30E7" w:rsidP="00997400">
      <w:pPr>
        <w:pStyle w:val="Kopfzeile"/>
        <w:tabs>
          <w:tab w:val="clear" w:pos="4536"/>
          <w:tab w:val="clear" w:pos="9072"/>
        </w:tabs>
        <w:snapToGrid w:val="0"/>
        <w:jc w:val="both"/>
        <w:rPr>
          <w:noProof/>
          <w:lang w:eastAsia="de-DE"/>
        </w:rPr>
      </w:pPr>
    </w:p>
    <w:p w:rsidR="008B30E7" w:rsidRDefault="008B30E7" w:rsidP="00997400">
      <w:pPr>
        <w:pStyle w:val="Kopfzeile"/>
        <w:tabs>
          <w:tab w:val="clear" w:pos="4536"/>
          <w:tab w:val="clear" w:pos="9072"/>
        </w:tabs>
        <w:snapToGrid w:val="0"/>
        <w:jc w:val="both"/>
        <w:rPr>
          <w:noProof/>
          <w:lang w:eastAsia="de-DE"/>
        </w:rPr>
      </w:pPr>
    </w:p>
    <w:p w:rsidR="008B30E7" w:rsidRDefault="008B30E7" w:rsidP="00997400">
      <w:pPr>
        <w:pStyle w:val="Kopfzeile"/>
        <w:tabs>
          <w:tab w:val="clear" w:pos="4536"/>
          <w:tab w:val="clear" w:pos="9072"/>
        </w:tabs>
        <w:snapToGrid w:val="0"/>
        <w:jc w:val="both"/>
        <w:rPr>
          <w:noProof/>
          <w:lang w:eastAsia="de-DE"/>
        </w:rPr>
      </w:pPr>
    </w:p>
    <w:p w:rsidR="008B30E7" w:rsidRDefault="00643732" w:rsidP="00997400">
      <w:pPr>
        <w:pStyle w:val="Kopfzeile"/>
        <w:tabs>
          <w:tab w:val="clear" w:pos="4536"/>
          <w:tab w:val="clear" w:pos="9072"/>
        </w:tabs>
        <w:snapToGrid w:val="0"/>
        <w:jc w:val="both"/>
        <w:rPr>
          <w:noProof/>
          <w:lang w:eastAsia="de-DE"/>
        </w:rPr>
      </w:pPr>
      <w:r>
        <w:rPr>
          <w:noProof/>
        </w:rPr>
        <w:drawing>
          <wp:anchor distT="0" distB="0" distL="114300" distR="114300" simplePos="0" relativeHeight="251667456" behindDoc="0" locked="0" layoutInCell="1" allowOverlap="1">
            <wp:simplePos x="0" y="0"/>
            <wp:positionH relativeFrom="margin">
              <wp:posOffset>-635</wp:posOffset>
            </wp:positionH>
            <wp:positionV relativeFrom="paragraph">
              <wp:posOffset>6985</wp:posOffset>
            </wp:positionV>
            <wp:extent cx="4541520" cy="3729723"/>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0399" cy="373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30E7" w:rsidRDefault="008B30E7" w:rsidP="00997400">
      <w:pPr>
        <w:pStyle w:val="Kopfzeile"/>
        <w:tabs>
          <w:tab w:val="clear" w:pos="4536"/>
          <w:tab w:val="clear" w:pos="9072"/>
        </w:tabs>
        <w:snapToGrid w:val="0"/>
        <w:jc w:val="both"/>
        <w:rPr>
          <w:noProof/>
          <w:lang w:eastAsia="de-DE"/>
        </w:rPr>
      </w:pPr>
    </w:p>
    <w:p w:rsidR="008B30E7" w:rsidRDefault="008B30E7" w:rsidP="00997400">
      <w:pPr>
        <w:pStyle w:val="Kopfzeile"/>
        <w:tabs>
          <w:tab w:val="clear" w:pos="4536"/>
          <w:tab w:val="clear" w:pos="9072"/>
        </w:tabs>
        <w:snapToGrid w:val="0"/>
        <w:jc w:val="both"/>
        <w:rPr>
          <w:noProof/>
          <w:lang w:eastAsia="de-DE"/>
        </w:rPr>
      </w:pPr>
    </w:p>
    <w:p w:rsidR="008B30E7" w:rsidRDefault="008B30E7" w:rsidP="00997400">
      <w:pPr>
        <w:pStyle w:val="Kopfzeile"/>
        <w:tabs>
          <w:tab w:val="clear" w:pos="4536"/>
          <w:tab w:val="clear" w:pos="9072"/>
        </w:tabs>
        <w:snapToGrid w:val="0"/>
        <w:jc w:val="both"/>
        <w:rPr>
          <w:noProof/>
          <w:lang w:eastAsia="de-DE"/>
        </w:rPr>
      </w:pPr>
    </w:p>
    <w:p w:rsidR="008B30E7" w:rsidRDefault="008B30E7" w:rsidP="00997400">
      <w:pPr>
        <w:pStyle w:val="Kopfzeile"/>
        <w:tabs>
          <w:tab w:val="clear" w:pos="4536"/>
          <w:tab w:val="clear" w:pos="9072"/>
        </w:tabs>
        <w:snapToGrid w:val="0"/>
        <w:jc w:val="both"/>
        <w:rPr>
          <w:noProof/>
          <w:lang w:eastAsia="de-DE"/>
        </w:rPr>
      </w:pPr>
    </w:p>
    <w:p w:rsidR="008B30E7" w:rsidRDefault="008B30E7" w:rsidP="00997400">
      <w:pPr>
        <w:pStyle w:val="Kopfzeile"/>
        <w:tabs>
          <w:tab w:val="clear" w:pos="4536"/>
          <w:tab w:val="clear" w:pos="9072"/>
        </w:tabs>
        <w:snapToGrid w:val="0"/>
        <w:jc w:val="both"/>
        <w:rPr>
          <w:noProof/>
          <w:lang w:eastAsia="de-DE"/>
        </w:rPr>
      </w:pPr>
    </w:p>
    <w:p w:rsidR="008B30E7" w:rsidRDefault="008B30E7" w:rsidP="00997400">
      <w:pPr>
        <w:pStyle w:val="Kopfzeile"/>
        <w:tabs>
          <w:tab w:val="clear" w:pos="4536"/>
          <w:tab w:val="clear" w:pos="9072"/>
        </w:tabs>
        <w:snapToGrid w:val="0"/>
        <w:jc w:val="both"/>
        <w:rPr>
          <w:noProof/>
          <w:lang w:eastAsia="de-DE"/>
        </w:rPr>
      </w:pPr>
    </w:p>
    <w:p w:rsidR="008B30E7" w:rsidRDefault="008B30E7" w:rsidP="00997400">
      <w:pPr>
        <w:pStyle w:val="Kopfzeile"/>
        <w:tabs>
          <w:tab w:val="clear" w:pos="4536"/>
          <w:tab w:val="clear" w:pos="9072"/>
        </w:tabs>
        <w:snapToGrid w:val="0"/>
        <w:jc w:val="both"/>
        <w:rPr>
          <w:noProof/>
          <w:lang w:eastAsia="de-DE"/>
        </w:rPr>
      </w:pPr>
    </w:p>
    <w:p w:rsidR="008B30E7" w:rsidRDefault="008B30E7" w:rsidP="00997400">
      <w:pPr>
        <w:pStyle w:val="Kopfzeile"/>
        <w:tabs>
          <w:tab w:val="clear" w:pos="4536"/>
          <w:tab w:val="clear" w:pos="9072"/>
        </w:tabs>
        <w:snapToGrid w:val="0"/>
        <w:jc w:val="both"/>
        <w:rPr>
          <w:noProof/>
          <w:lang w:eastAsia="de-DE"/>
        </w:rPr>
      </w:pPr>
    </w:p>
    <w:p w:rsidR="008B30E7" w:rsidRDefault="008B30E7" w:rsidP="00997400">
      <w:pPr>
        <w:pStyle w:val="Kopfzeile"/>
        <w:tabs>
          <w:tab w:val="clear" w:pos="4536"/>
          <w:tab w:val="clear" w:pos="9072"/>
        </w:tabs>
        <w:snapToGrid w:val="0"/>
        <w:jc w:val="both"/>
        <w:rPr>
          <w:noProof/>
          <w:lang w:eastAsia="de-DE"/>
        </w:rPr>
      </w:pPr>
    </w:p>
    <w:p w:rsidR="008B30E7" w:rsidRDefault="008B30E7"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F0638E" w:rsidRDefault="00F0638E" w:rsidP="00824327">
      <w:pPr>
        <w:pStyle w:val="Kopfzeile"/>
        <w:tabs>
          <w:tab w:val="clear" w:pos="4536"/>
          <w:tab w:val="clear" w:pos="9072"/>
        </w:tabs>
        <w:jc w:val="both"/>
        <w:rPr>
          <w:rFonts w:cs="Arial"/>
          <w:color w:val="000000"/>
          <w:sz w:val="18"/>
          <w:szCs w:val="18"/>
        </w:rPr>
      </w:pPr>
    </w:p>
    <w:p w:rsidR="00F0638E" w:rsidRDefault="00F0638E" w:rsidP="00824327">
      <w:pPr>
        <w:pStyle w:val="Kopfzeile"/>
        <w:tabs>
          <w:tab w:val="clear" w:pos="4536"/>
          <w:tab w:val="clear" w:pos="9072"/>
        </w:tabs>
        <w:jc w:val="both"/>
        <w:rPr>
          <w:rFonts w:cs="Arial"/>
          <w:color w:val="000000"/>
          <w:sz w:val="18"/>
          <w:szCs w:val="18"/>
        </w:rPr>
      </w:pPr>
    </w:p>
    <w:p w:rsidR="00F0638E" w:rsidRDefault="00F0638E" w:rsidP="00824327">
      <w:pPr>
        <w:pStyle w:val="Kopfzeile"/>
        <w:tabs>
          <w:tab w:val="clear" w:pos="4536"/>
          <w:tab w:val="clear" w:pos="9072"/>
        </w:tabs>
        <w:jc w:val="both"/>
        <w:rPr>
          <w:rFonts w:cs="Arial"/>
          <w:color w:val="000000"/>
          <w:sz w:val="18"/>
          <w:szCs w:val="18"/>
        </w:rPr>
      </w:pPr>
    </w:p>
    <w:p w:rsidR="00F0638E" w:rsidRDefault="00F0638E" w:rsidP="00824327">
      <w:pPr>
        <w:pStyle w:val="Kopfzeile"/>
        <w:tabs>
          <w:tab w:val="clear" w:pos="4536"/>
          <w:tab w:val="clear" w:pos="9072"/>
        </w:tabs>
        <w:jc w:val="both"/>
        <w:rPr>
          <w:rFonts w:cs="Arial"/>
          <w:color w:val="000000"/>
          <w:sz w:val="18"/>
          <w:szCs w:val="18"/>
        </w:rPr>
      </w:pPr>
    </w:p>
    <w:p w:rsidR="00F0638E" w:rsidRDefault="00F0638E" w:rsidP="00824327">
      <w:pPr>
        <w:pStyle w:val="Kopfzeile"/>
        <w:tabs>
          <w:tab w:val="clear" w:pos="4536"/>
          <w:tab w:val="clear" w:pos="9072"/>
        </w:tabs>
        <w:jc w:val="both"/>
        <w:rPr>
          <w:rFonts w:cs="Arial"/>
          <w:color w:val="000000"/>
          <w:sz w:val="18"/>
          <w:szCs w:val="18"/>
        </w:rPr>
      </w:pPr>
    </w:p>
    <w:p w:rsidR="00F0638E" w:rsidRDefault="00F0638E" w:rsidP="00824327">
      <w:pPr>
        <w:pStyle w:val="Kopfzeile"/>
        <w:tabs>
          <w:tab w:val="clear" w:pos="4536"/>
          <w:tab w:val="clear" w:pos="9072"/>
        </w:tabs>
        <w:jc w:val="both"/>
        <w:rPr>
          <w:rFonts w:cs="Arial"/>
          <w:color w:val="000000"/>
          <w:sz w:val="18"/>
          <w:szCs w:val="18"/>
        </w:rPr>
      </w:pPr>
    </w:p>
    <w:p w:rsidR="00F0638E" w:rsidRDefault="00F0638E" w:rsidP="00824327">
      <w:pPr>
        <w:pStyle w:val="Kopfzeile"/>
        <w:tabs>
          <w:tab w:val="clear" w:pos="4536"/>
          <w:tab w:val="clear" w:pos="9072"/>
        </w:tabs>
        <w:jc w:val="both"/>
        <w:rPr>
          <w:rFonts w:cs="Arial"/>
          <w:color w:val="000000"/>
          <w:sz w:val="18"/>
          <w:szCs w:val="18"/>
        </w:rPr>
      </w:pPr>
    </w:p>
    <w:p w:rsidR="00F0638E" w:rsidRDefault="00F0638E" w:rsidP="00824327">
      <w:pPr>
        <w:pStyle w:val="Kopfzeile"/>
        <w:tabs>
          <w:tab w:val="clear" w:pos="4536"/>
          <w:tab w:val="clear" w:pos="9072"/>
        </w:tabs>
        <w:jc w:val="both"/>
        <w:rPr>
          <w:rFonts w:cs="Arial"/>
          <w:color w:val="000000"/>
          <w:sz w:val="18"/>
          <w:szCs w:val="18"/>
        </w:rPr>
      </w:pPr>
    </w:p>
    <w:p w:rsidR="00F0638E" w:rsidRDefault="00F0638E" w:rsidP="00824327">
      <w:pPr>
        <w:pStyle w:val="Kopfzeile"/>
        <w:tabs>
          <w:tab w:val="clear" w:pos="4536"/>
          <w:tab w:val="clear" w:pos="9072"/>
        </w:tabs>
        <w:jc w:val="both"/>
        <w:rPr>
          <w:rFonts w:cs="Arial"/>
          <w:color w:val="000000"/>
          <w:sz w:val="18"/>
          <w:szCs w:val="18"/>
        </w:rPr>
      </w:pPr>
    </w:p>
    <w:p w:rsidR="00F0638E" w:rsidRDefault="00F0638E" w:rsidP="00824327">
      <w:pPr>
        <w:pStyle w:val="Kopfzeile"/>
        <w:tabs>
          <w:tab w:val="clear" w:pos="4536"/>
          <w:tab w:val="clear" w:pos="9072"/>
        </w:tabs>
        <w:jc w:val="both"/>
        <w:rPr>
          <w:rFonts w:cs="Arial"/>
          <w:color w:val="000000"/>
          <w:sz w:val="18"/>
          <w:szCs w:val="18"/>
        </w:rPr>
      </w:pPr>
    </w:p>
    <w:p w:rsidR="00F0638E" w:rsidRDefault="00F0638E" w:rsidP="00824327">
      <w:pPr>
        <w:pStyle w:val="Kopfzeile"/>
        <w:tabs>
          <w:tab w:val="clear" w:pos="4536"/>
          <w:tab w:val="clear" w:pos="9072"/>
        </w:tabs>
        <w:jc w:val="both"/>
        <w:rPr>
          <w:rFonts w:cs="Arial"/>
          <w:color w:val="000000"/>
          <w:sz w:val="18"/>
          <w:szCs w:val="18"/>
        </w:rPr>
      </w:pPr>
    </w:p>
    <w:p w:rsidR="00F0638E" w:rsidRDefault="00F0638E" w:rsidP="00824327">
      <w:pPr>
        <w:pStyle w:val="Kopfzeile"/>
        <w:tabs>
          <w:tab w:val="clear" w:pos="4536"/>
          <w:tab w:val="clear" w:pos="9072"/>
        </w:tabs>
        <w:jc w:val="both"/>
        <w:rPr>
          <w:rFonts w:cs="Arial"/>
          <w:color w:val="000000"/>
          <w:sz w:val="18"/>
          <w:szCs w:val="18"/>
        </w:rPr>
      </w:pPr>
    </w:p>
    <w:p w:rsidR="00F0638E" w:rsidRDefault="00F0638E" w:rsidP="00824327">
      <w:pPr>
        <w:pStyle w:val="Kopfzeile"/>
        <w:tabs>
          <w:tab w:val="clear" w:pos="4536"/>
          <w:tab w:val="clear" w:pos="9072"/>
        </w:tabs>
        <w:jc w:val="both"/>
        <w:rPr>
          <w:rFonts w:cs="Arial"/>
          <w:color w:val="000000"/>
          <w:sz w:val="18"/>
          <w:szCs w:val="18"/>
        </w:rPr>
      </w:pPr>
    </w:p>
    <w:p w:rsidR="00F0638E" w:rsidRDefault="00F0638E" w:rsidP="00824327">
      <w:pPr>
        <w:pStyle w:val="Kopfzeile"/>
        <w:tabs>
          <w:tab w:val="clear" w:pos="4536"/>
          <w:tab w:val="clear" w:pos="9072"/>
        </w:tabs>
        <w:jc w:val="both"/>
        <w:rPr>
          <w:rFonts w:cs="Arial"/>
          <w:color w:val="000000"/>
          <w:sz w:val="18"/>
          <w:szCs w:val="18"/>
        </w:rPr>
      </w:pPr>
    </w:p>
    <w:p w:rsidR="00F0638E" w:rsidRDefault="00F0638E" w:rsidP="00824327">
      <w:pPr>
        <w:pStyle w:val="Kopfzeile"/>
        <w:tabs>
          <w:tab w:val="clear" w:pos="4536"/>
          <w:tab w:val="clear" w:pos="9072"/>
        </w:tabs>
        <w:jc w:val="both"/>
        <w:rPr>
          <w:rFonts w:cs="Arial"/>
          <w:color w:val="000000"/>
          <w:sz w:val="18"/>
          <w:szCs w:val="18"/>
        </w:rPr>
      </w:pPr>
    </w:p>
    <w:p w:rsidR="00F0638E" w:rsidRDefault="00F0638E" w:rsidP="00824327">
      <w:pPr>
        <w:pStyle w:val="Kopfzeile"/>
        <w:tabs>
          <w:tab w:val="clear" w:pos="4536"/>
          <w:tab w:val="clear" w:pos="9072"/>
        </w:tabs>
        <w:jc w:val="both"/>
        <w:rPr>
          <w:rFonts w:cs="Arial"/>
          <w:color w:val="000000"/>
          <w:sz w:val="18"/>
          <w:szCs w:val="18"/>
        </w:rPr>
      </w:pPr>
    </w:p>
    <w:p w:rsidR="00F0638E" w:rsidRDefault="00F0638E" w:rsidP="00824327">
      <w:pPr>
        <w:pStyle w:val="Kopfzeile"/>
        <w:tabs>
          <w:tab w:val="clear" w:pos="4536"/>
          <w:tab w:val="clear" w:pos="9072"/>
        </w:tabs>
        <w:jc w:val="both"/>
        <w:rPr>
          <w:rFonts w:cs="Arial"/>
          <w:color w:val="000000"/>
          <w:sz w:val="18"/>
          <w:szCs w:val="18"/>
        </w:rPr>
      </w:pPr>
    </w:p>
    <w:p w:rsidR="00F0638E" w:rsidRPr="00B90A11" w:rsidRDefault="00F0638E" w:rsidP="00824327">
      <w:pPr>
        <w:pStyle w:val="Kopfzeile"/>
        <w:tabs>
          <w:tab w:val="clear" w:pos="4536"/>
          <w:tab w:val="clear" w:pos="9072"/>
        </w:tabs>
        <w:jc w:val="both"/>
        <w:rPr>
          <w:rFonts w:asciiTheme="minorHAnsi" w:hAnsiTheme="minorHAnsi" w:cstheme="minorHAnsi"/>
          <w:color w:val="000000"/>
          <w:sz w:val="20"/>
        </w:rPr>
      </w:pPr>
    </w:p>
    <w:p w:rsidR="00824327" w:rsidRDefault="00DF0AC5" w:rsidP="00824327">
      <w:pPr>
        <w:pStyle w:val="Kopfzeile"/>
        <w:tabs>
          <w:tab w:val="clear" w:pos="4536"/>
          <w:tab w:val="clear" w:pos="9072"/>
        </w:tabs>
        <w:jc w:val="both"/>
        <w:rPr>
          <w:rFonts w:asciiTheme="minorHAnsi" w:hAnsiTheme="minorHAnsi" w:cstheme="minorHAnsi"/>
          <w:color w:val="000000"/>
          <w:sz w:val="20"/>
        </w:rPr>
      </w:pPr>
      <w:r w:rsidRPr="00B90A11">
        <w:rPr>
          <w:rFonts w:asciiTheme="minorHAnsi" w:hAnsiTheme="minorHAnsi" w:cstheme="minorHAnsi"/>
          <w:color w:val="000000"/>
          <w:sz w:val="20"/>
        </w:rPr>
        <w:t>Fo</w:t>
      </w:r>
      <w:r w:rsidR="00737BD3" w:rsidRPr="00B90A11">
        <w:rPr>
          <w:rFonts w:asciiTheme="minorHAnsi" w:hAnsiTheme="minorHAnsi" w:cstheme="minorHAnsi"/>
          <w:color w:val="000000"/>
          <w:sz w:val="20"/>
        </w:rPr>
        <w:t>to: Warrlich/201</w:t>
      </w:r>
      <w:r w:rsidR="0036334E" w:rsidRPr="00B90A11">
        <w:rPr>
          <w:rFonts w:asciiTheme="minorHAnsi" w:hAnsiTheme="minorHAnsi" w:cstheme="minorHAnsi"/>
          <w:color w:val="000000"/>
          <w:sz w:val="20"/>
        </w:rPr>
        <w:t>8</w:t>
      </w:r>
    </w:p>
    <w:p w:rsidR="00B90A11" w:rsidRPr="00B90A11" w:rsidRDefault="00B90A11" w:rsidP="00824327">
      <w:pPr>
        <w:pStyle w:val="Kopfzeile"/>
        <w:tabs>
          <w:tab w:val="clear" w:pos="4536"/>
          <w:tab w:val="clear" w:pos="9072"/>
        </w:tabs>
        <w:jc w:val="both"/>
        <w:rPr>
          <w:rFonts w:asciiTheme="minorHAnsi" w:hAnsiTheme="minorHAnsi" w:cstheme="minorHAnsi"/>
          <w:color w:val="000000"/>
          <w:sz w:val="20"/>
        </w:rPr>
      </w:pPr>
    </w:p>
    <w:p w:rsidR="00824327" w:rsidRPr="002C48A9" w:rsidRDefault="00964BAB" w:rsidP="00964BAB">
      <w:pPr>
        <w:snapToGrid w:val="0"/>
        <w:spacing w:line="300" w:lineRule="atLeast"/>
        <w:ind w:right="58"/>
        <w:jc w:val="both"/>
        <w:rPr>
          <w:rFonts w:cstheme="minorHAnsi"/>
        </w:rPr>
      </w:pPr>
      <w:r w:rsidRPr="00964BAB">
        <w:rPr>
          <w:rFonts w:cstheme="minorHAnsi"/>
          <w:iCs/>
          <w:sz w:val="24"/>
          <w:szCs w:val="24"/>
        </w:rPr>
        <w:t xml:space="preserve">Ein regelrechtes Umsatzfeuerwerk im Handel entfachen die sogenannten WARRLICH Holzwolle-Anzünder. Sie </w:t>
      </w:r>
      <w:r w:rsidR="00B929FF">
        <w:rPr>
          <w:rFonts w:cstheme="minorHAnsi"/>
          <w:iCs/>
          <w:sz w:val="24"/>
          <w:szCs w:val="24"/>
        </w:rPr>
        <w:t xml:space="preserve">eignen sich sowohl für </w:t>
      </w:r>
      <w:r w:rsidR="00B929FF" w:rsidRPr="00964BAB">
        <w:rPr>
          <w:rFonts w:cstheme="minorHAnsi"/>
          <w:iCs/>
          <w:sz w:val="24"/>
          <w:szCs w:val="24"/>
        </w:rPr>
        <w:t xml:space="preserve">Cheminée </w:t>
      </w:r>
      <w:r w:rsidR="00B929FF">
        <w:rPr>
          <w:rFonts w:cstheme="minorHAnsi"/>
          <w:iCs/>
          <w:sz w:val="24"/>
          <w:szCs w:val="24"/>
        </w:rPr>
        <w:t>als auch den Grill und</w:t>
      </w:r>
      <w:r w:rsidR="00B929FF" w:rsidRPr="00964BAB">
        <w:rPr>
          <w:rFonts w:cstheme="minorHAnsi"/>
          <w:iCs/>
          <w:sz w:val="24"/>
          <w:szCs w:val="24"/>
        </w:rPr>
        <w:t xml:space="preserve"> </w:t>
      </w:r>
      <w:r w:rsidRPr="00964BAB">
        <w:rPr>
          <w:rFonts w:cstheme="minorHAnsi"/>
          <w:iCs/>
          <w:sz w:val="24"/>
          <w:szCs w:val="24"/>
        </w:rPr>
        <w:t xml:space="preserve">werden auf Basis nachwachsender Rohstoffe hergestellt. Dazu werden Holzspäne zu kleinen Rollen aufgedreht und mit hochwertigem natürlichem Wachs getränkt. So gelingt das schnelle, einfache und noch dazu absolut sichere Entzünden für jeden Brennstoff. </w:t>
      </w:r>
      <w:r>
        <w:rPr>
          <w:rFonts w:cstheme="minorHAnsi"/>
          <w:iCs/>
          <w:sz w:val="24"/>
          <w:szCs w:val="24"/>
        </w:rPr>
        <w:t xml:space="preserve">   </w:t>
      </w:r>
      <w:r w:rsidR="00B929FF">
        <w:rPr>
          <w:rFonts w:cstheme="minorHAnsi"/>
          <w:iCs/>
          <w:sz w:val="24"/>
          <w:szCs w:val="24"/>
        </w:rPr>
        <w:t xml:space="preserve">  </w:t>
      </w:r>
      <w:r>
        <w:rPr>
          <w:rFonts w:cstheme="minorHAnsi"/>
          <w:iCs/>
          <w:sz w:val="24"/>
          <w:szCs w:val="24"/>
        </w:rPr>
        <w:t xml:space="preserve">      </w:t>
      </w:r>
      <w:r w:rsidR="002C7F86">
        <w:rPr>
          <w:rFonts w:cstheme="minorHAnsi"/>
          <w:iCs/>
        </w:rPr>
        <w:t xml:space="preserve">   </w:t>
      </w:r>
      <w:r w:rsidR="002C48A9">
        <w:rPr>
          <w:rFonts w:cstheme="minorHAnsi"/>
          <w:iCs/>
        </w:rPr>
        <w:t xml:space="preserve">    </w:t>
      </w:r>
      <w:r w:rsidR="00244D32" w:rsidRPr="002C48A9">
        <w:rPr>
          <w:rFonts w:cstheme="minorHAnsi"/>
          <w:iCs/>
        </w:rPr>
        <w:t xml:space="preserve"> </w:t>
      </w:r>
      <w:r w:rsidR="00C15EC4" w:rsidRPr="00B929FF">
        <w:rPr>
          <w:rFonts w:cstheme="minorHAnsi"/>
          <w:iCs/>
          <w:sz w:val="24"/>
          <w:szCs w:val="24"/>
        </w:rPr>
        <w:t>(</w:t>
      </w:r>
      <w:r w:rsidR="00824327" w:rsidRPr="00B929FF">
        <w:rPr>
          <w:rFonts w:cstheme="minorHAnsi"/>
          <w:sz w:val="24"/>
          <w:szCs w:val="24"/>
        </w:rPr>
        <w:t>Warrlich)</w:t>
      </w:r>
      <w:r w:rsidR="00824327" w:rsidRPr="002C48A9">
        <w:rPr>
          <w:rFonts w:cstheme="minorHAnsi"/>
        </w:rPr>
        <w:t xml:space="preserve"> </w:t>
      </w:r>
    </w:p>
    <w:p w:rsidR="0082691C" w:rsidRPr="002C48A9" w:rsidRDefault="0082691C" w:rsidP="00E01037">
      <w:pPr>
        <w:pStyle w:val="Kopfzeile"/>
        <w:tabs>
          <w:tab w:val="clear" w:pos="4536"/>
          <w:tab w:val="clear" w:pos="9072"/>
        </w:tabs>
        <w:jc w:val="both"/>
        <w:rPr>
          <w:rFonts w:asciiTheme="minorHAnsi" w:hAnsiTheme="minorHAnsi" w:cstheme="minorHAnsi"/>
          <w:sz w:val="22"/>
          <w:szCs w:val="22"/>
        </w:rPr>
      </w:pPr>
    </w:p>
    <w:p w:rsidR="00824327" w:rsidRDefault="00824327" w:rsidP="00824327">
      <w:pPr>
        <w:pStyle w:val="Kopfzeile"/>
        <w:tabs>
          <w:tab w:val="clear" w:pos="4536"/>
          <w:tab w:val="clear" w:pos="9072"/>
        </w:tabs>
        <w:jc w:val="both"/>
        <w:rPr>
          <w:rFonts w:cs="Arial"/>
          <w:color w:val="000000"/>
          <w:sz w:val="18"/>
          <w:szCs w:val="18"/>
        </w:rPr>
      </w:pPr>
    </w:p>
    <w:p w:rsidR="003F675B" w:rsidRDefault="00BD272B" w:rsidP="003F675B">
      <w:pPr>
        <w:pStyle w:val="Kopfzeile"/>
        <w:tabs>
          <w:tab w:val="clear" w:pos="4536"/>
          <w:tab w:val="clear" w:pos="9072"/>
        </w:tabs>
        <w:snapToGrid w:val="0"/>
        <w:jc w:val="both"/>
        <w:rPr>
          <w:rFonts w:asciiTheme="minorHAnsi" w:hAnsiTheme="minorHAnsi" w:cstheme="minorHAnsi"/>
          <w:sz w:val="22"/>
          <w:szCs w:val="22"/>
        </w:rPr>
      </w:pPr>
      <w:r>
        <w:rPr>
          <w:noProof/>
        </w:rPr>
        <w:drawing>
          <wp:anchor distT="0" distB="0" distL="114300" distR="114300" simplePos="0" relativeHeight="251668480" behindDoc="0" locked="0" layoutInCell="1" allowOverlap="1">
            <wp:simplePos x="0" y="0"/>
            <wp:positionH relativeFrom="margin">
              <wp:posOffset>4091305</wp:posOffset>
            </wp:positionH>
            <wp:positionV relativeFrom="paragraph">
              <wp:posOffset>6985</wp:posOffset>
            </wp:positionV>
            <wp:extent cx="838200" cy="8382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675B">
        <w:rPr>
          <w:rFonts w:asciiTheme="minorHAnsi" w:hAnsiTheme="minorHAnsi" w:cstheme="minorHAnsi"/>
          <w:sz w:val="22"/>
          <w:szCs w:val="22"/>
        </w:rPr>
        <w:t>Te</w:t>
      </w:r>
      <w:r w:rsidR="003F675B" w:rsidRPr="00B2326F">
        <w:rPr>
          <w:rFonts w:asciiTheme="minorHAnsi" w:hAnsiTheme="minorHAnsi" w:cstheme="minorHAnsi"/>
          <w:sz w:val="22"/>
          <w:szCs w:val="22"/>
        </w:rPr>
        <w:t xml:space="preserve">xt </w:t>
      </w:r>
      <w:r w:rsidR="002C48A9">
        <w:rPr>
          <w:rFonts w:asciiTheme="minorHAnsi" w:hAnsiTheme="minorHAnsi" w:cstheme="minorHAnsi"/>
          <w:sz w:val="22"/>
          <w:szCs w:val="22"/>
        </w:rPr>
        <w:t xml:space="preserve">ca. </w:t>
      </w:r>
      <w:r w:rsidR="00B929FF">
        <w:rPr>
          <w:rFonts w:asciiTheme="minorHAnsi" w:hAnsiTheme="minorHAnsi" w:cstheme="minorHAnsi"/>
          <w:sz w:val="22"/>
          <w:szCs w:val="22"/>
        </w:rPr>
        <w:t>1</w:t>
      </w:r>
      <w:r w:rsidR="00643732">
        <w:rPr>
          <w:rFonts w:asciiTheme="minorHAnsi" w:hAnsiTheme="minorHAnsi" w:cstheme="minorHAnsi"/>
          <w:sz w:val="22"/>
          <w:szCs w:val="22"/>
        </w:rPr>
        <w:t>.582</w:t>
      </w:r>
      <w:r w:rsidR="003F675B">
        <w:rPr>
          <w:rFonts w:asciiTheme="minorHAnsi" w:hAnsiTheme="minorHAnsi" w:cstheme="minorHAnsi"/>
          <w:sz w:val="22"/>
          <w:szCs w:val="22"/>
        </w:rPr>
        <w:t xml:space="preserve"> Zeichen</w:t>
      </w:r>
      <w:r w:rsidR="003F675B" w:rsidRPr="00B2326F">
        <w:rPr>
          <w:rFonts w:asciiTheme="minorHAnsi" w:hAnsiTheme="minorHAnsi" w:cstheme="minorHAnsi"/>
          <w:sz w:val="22"/>
          <w:szCs w:val="22"/>
        </w:rPr>
        <w:t>, Abdruck honorarfrei * Beleg erbeten</w:t>
      </w:r>
    </w:p>
    <w:p w:rsidR="003F675B" w:rsidRDefault="003F675B" w:rsidP="003F675B">
      <w:pPr>
        <w:pStyle w:val="Kopfzeile"/>
        <w:tabs>
          <w:tab w:val="clear" w:pos="4536"/>
          <w:tab w:val="clear" w:pos="9072"/>
        </w:tabs>
        <w:snapToGrid w:val="0"/>
        <w:jc w:val="both"/>
        <w:rPr>
          <w:rFonts w:asciiTheme="minorHAnsi" w:hAnsiTheme="minorHAnsi" w:cstheme="minorHAnsi"/>
          <w:sz w:val="22"/>
          <w:szCs w:val="22"/>
        </w:rPr>
      </w:pPr>
    </w:p>
    <w:p w:rsidR="00710D37" w:rsidRPr="00824327" w:rsidRDefault="003F675B" w:rsidP="003F675B">
      <w:pPr>
        <w:pStyle w:val="Kopfzeile"/>
        <w:tabs>
          <w:tab w:val="clear" w:pos="4536"/>
          <w:tab w:val="clear" w:pos="9072"/>
        </w:tabs>
        <w:snapToGrid w:val="0"/>
        <w:jc w:val="both"/>
      </w:pPr>
      <w:r w:rsidRPr="00771C80">
        <w:rPr>
          <w:rFonts w:cs="Arial"/>
          <w:b/>
          <w:sz w:val="18"/>
          <w:szCs w:val="18"/>
        </w:rPr>
        <w:t>Text und Bild zum Download auch unter http://www.warrlich.eu/presse</w:t>
      </w:r>
      <w:bookmarkStart w:id="0" w:name="_GoBack"/>
      <w:bookmarkEnd w:id="0"/>
    </w:p>
    <w:sectPr w:rsidR="00710D37" w:rsidRPr="00824327" w:rsidSect="0035334C">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C3B" w:rsidRDefault="00CA6C3B" w:rsidP="00E72E5C">
      <w:pPr>
        <w:spacing w:after="0" w:line="240" w:lineRule="auto"/>
      </w:pPr>
      <w:r>
        <w:separator/>
      </w:r>
    </w:p>
  </w:endnote>
  <w:endnote w:type="continuationSeparator" w:id="0">
    <w:p w:rsidR="00CA6C3B" w:rsidRDefault="00CA6C3B" w:rsidP="00E7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UET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E3B" w:rsidRDefault="00964BAB" w:rsidP="00E72E5C">
    <w:pPr>
      <w:pStyle w:val="Fuzeile"/>
      <w:jc w:val="center"/>
      <w:rPr>
        <w:sz w:val="18"/>
        <w:szCs w:val="18"/>
      </w:rPr>
    </w:pPr>
    <w:r w:rsidRPr="00964BAB">
      <w:rPr>
        <w:sz w:val="18"/>
        <w:szCs w:val="18"/>
      </w:rPr>
      <w:t>Agentur Bruchertseifer</w:t>
    </w:r>
  </w:p>
  <w:p w:rsidR="00964BAB" w:rsidRDefault="00964BAB" w:rsidP="00E72E5C">
    <w:pPr>
      <w:pStyle w:val="Fuzeile"/>
      <w:jc w:val="center"/>
      <w:rPr>
        <w:sz w:val="18"/>
        <w:szCs w:val="18"/>
      </w:rPr>
    </w:pPr>
    <w:r>
      <w:rPr>
        <w:sz w:val="18"/>
        <w:szCs w:val="18"/>
      </w:rPr>
      <w:t>Impasse Palace Bellevue 7 – CH 3963 Crans-Montana, VS</w:t>
    </w:r>
  </w:p>
  <w:p w:rsidR="00964BAB" w:rsidRPr="000D220E" w:rsidRDefault="00964BAB" w:rsidP="00E72E5C">
    <w:pPr>
      <w:pStyle w:val="Fuzeile"/>
      <w:jc w:val="center"/>
      <w:rPr>
        <w:sz w:val="18"/>
        <w:szCs w:val="18"/>
      </w:rPr>
    </w:pPr>
    <w:r>
      <w:rPr>
        <w:sz w:val="18"/>
        <w:szCs w:val="18"/>
      </w:rPr>
      <w:t>+41 78 950 3838 – heike@bruchertseifer.com</w:t>
    </w:r>
  </w:p>
  <w:p w:rsidR="00E72E5C" w:rsidRPr="00E72E5C" w:rsidRDefault="00E72E5C">
    <w:pPr>
      <w:pStyle w:val="Fuzeile"/>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C3B" w:rsidRDefault="00CA6C3B" w:rsidP="00E72E5C">
      <w:pPr>
        <w:spacing w:after="0" w:line="240" w:lineRule="auto"/>
      </w:pPr>
      <w:r>
        <w:separator/>
      </w:r>
    </w:p>
  </w:footnote>
  <w:footnote w:type="continuationSeparator" w:id="0">
    <w:p w:rsidR="00CA6C3B" w:rsidRDefault="00CA6C3B" w:rsidP="00E72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2AE"/>
    <w:rsid w:val="000000CA"/>
    <w:rsid w:val="00005328"/>
    <w:rsid w:val="00007FD2"/>
    <w:rsid w:val="000151EA"/>
    <w:rsid w:val="00021DF5"/>
    <w:rsid w:val="00021E54"/>
    <w:rsid w:val="00030304"/>
    <w:rsid w:val="000368F9"/>
    <w:rsid w:val="000434CD"/>
    <w:rsid w:val="00054AE5"/>
    <w:rsid w:val="000571D0"/>
    <w:rsid w:val="00060239"/>
    <w:rsid w:val="00061461"/>
    <w:rsid w:val="000762AE"/>
    <w:rsid w:val="00083CE7"/>
    <w:rsid w:val="0009026C"/>
    <w:rsid w:val="00091992"/>
    <w:rsid w:val="000A4499"/>
    <w:rsid w:val="000C4780"/>
    <w:rsid w:val="000C5521"/>
    <w:rsid w:val="000D220E"/>
    <w:rsid w:val="000D47B9"/>
    <w:rsid w:val="000D73F9"/>
    <w:rsid w:val="000F4AED"/>
    <w:rsid w:val="0013084D"/>
    <w:rsid w:val="00146AB0"/>
    <w:rsid w:val="00146C39"/>
    <w:rsid w:val="00147186"/>
    <w:rsid w:val="00172757"/>
    <w:rsid w:val="00177B7F"/>
    <w:rsid w:val="001B0C2B"/>
    <w:rsid w:val="001B6FB0"/>
    <w:rsid w:val="001C1D84"/>
    <w:rsid w:val="001E7C46"/>
    <w:rsid w:val="00203204"/>
    <w:rsid w:val="0020363B"/>
    <w:rsid w:val="00205A8A"/>
    <w:rsid w:val="00207CB0"/>
    <w:rsid w:val="002168E3"/>
    <w:rsid w:val="00220F37"/>
    <w:rsid w:val="0024159F"/>
    <w:rsid w:val="002441F9"/>
    <w:rsid w:val="00244D32"/>
    <w:rsid w:val="00280CED"/>
    <w:rsid w:val="002B4450"/>
    <w:rsid w:val="002C48A9"/>
    <w:rsid w:val="002C7F86"/>
    <w:rsid w:val="002D15BE"/>
    <w:rsid w:val="002F15FC"/>
    <w:rsid w:val="002F7057"/>
    <w:rsid w:val="00304CDA"/>
    <w:rsid w:val="00313FA2"/>
    <w:rsid w:val="003211A9"/>
    <w:rsid w:val="00334656"/>
    <w:rsid w:val="003410C2"/>
    <w:rsid w:val="0035334C"/>
    <w:rsid w:val="0036334E"/>
    <w:rsid w:val="0037304E"/>
    <w:rsid w:val="003979BA"/>
    <w:rsid w:val="003B12C0"/>
    <w:rsid w:val="003B156B"/>
    <w:rsid w:val="003B545B"/>
    <w:rsid w:val="003D73D0"/>
    <w:rsid w:val="003E1487"/>
    <w:rsid w:val="003F589E"/>
    <w:rsid w:val="003F675B"/>
    <w:rsid w:val="003F69BB"/>
    <w:rsid w:val="0040475F"/>
    <w:rsid w:val="00415EA3"/>
    <w:rsid w:val="00420481"/>
    <w:rsid w:val="0042405B"/>
    <w:rsid w:val="00424A1A"/>
    <w:rsid w:val="00430A74"/>
    <w:rsid w:val="00431ADE"/>
    <w:rsid w:val="004338EF"/>
    <w:rsid w:val="004540E5"/>
    <w:rsid w:val="004569B9"/>
    <w:rsid w:val="00462491"/>
    <w:rsid w:val="0046454E"/>
    <w:rsid w:val="0046468B"/>
    <w:rsid w:val="00492C79"/>
    <w:rsid w:val="004A60DD"/>
    <w:rsid w:val="004C73C9"/>
    <w:rsid w:val="004D0797"/>
    <w:rsid w:val="004E3659"/>
    <w:rsid w:val="004E513F"/>
    <w:rsid w:val="004F7F5A"/>
    <w:rsid w:val="0052593A"/>
    <w:rsid w:val="00530C34"/>
    <w:rsid w:val="0053350C"/>
    <w:rsid w:val="0055088E"/>
    <w:rsid w:val="00554B13"/>
    <w:rsid w:val="005607EE"/>
    <w:rsid w:val="00562E2D"/>
    <w:rsid w:val="00574C3E"/>
    <w:rsid w:val="005921F6"/>
    <w:rsid w:val="00594D5F"/>
    <w:rsid w:val="005B77B7"/>
    <w:rsid w:val="005D5A99"/>
    <w:rsid w:val="005D61BE"/>
    <w:rsid w:val="005F023B"/>
    <w:rsid w:val="005F436A"/>
    <w:rsid w:val="005F6C4C"/>
    <w:rsid w:val="00601D20"/>
    <w:rsid w:val="006042D8"/>
    <w:rsid w:val="006122C8"/>
    <w:rsid w:val="006206F6"/>
    <w:rsid w:val="006228D4"/>
    <w:rsid w:val="00632910"/>
    <w:rsid w:val="00632BB1"/>
    <w:rsid w:val="00637FCE"/>
    <w:rsid w:val="00643732"/>
    <w:rsid w:val="00645F33"/>
    <w:rsid w:val="00665AF6"/>
    <w:rsid w:val="00680447"/>
    <w:rsid w:val="006809BB"/>
    <w:rsid w:val="00691CF3"/>
    <w:rsid w:val="006938BE"/>
    <w:rsid w:val="006961AC"/>
    <w:rsid w:val="006A079F"/>
    <w:rsid w:val="006A3885"/>
    <w:rsid w:val="006D44C1"/>
    <w:rsid w:val="006F3014"/>
    <w:rsid w:val="00710160"/>
    <w:rsid w:val="00710D37"/>
    <w:rsid w:val="007111CF"/>
    <w:rsid w:val="0071457B"/>
    <w:rsid w:val="00737BD3"/>
    <w:rsid w:val="00762931"/>
    <w:rsid w:val="00771C80"/>
    <w:rsid w:val="00781084"/>
    <w:rsid w:val="0078766B"/>
    <w:rsid w:val="00791932"/>
    <w:rsid w:val="00792237"/>
    <w:rsid w:val="00793345"/>
    <w:rsid w:val="007A0401"/>
    <w:rsid w:val="007B0834"/>
    <w:rsid w:val="007D6542"/>
    <w:rsid w:val="007D6A90"/>
    <w:rsid w:val="00824327"/>
    <w:rsid w:val="0082691C"/>
    <w:rsid w:val="00834E8B"/>
    <w:rsid w:val="00836B78"/>
    <w:rsid w:val="0086304A"/>
    <w:rsid w:val="00881356"/>
    <w:rsid w:val="008A21F8"/>
    <w:rsid w:val="008A33CD"/>
    <w:rsid w:val="008A4A14"/>
    <w:rsid w:val="008B30E7"/>
    <w:rsid w:val="008B77AB"/>
    <w:rsid w:val="008D2F13"/>
    <w:rsid w:val="008F1DE4"/>
    <w:rsid w:val="008F28A6"/>
    <w:rsid w:val="00904663"/>
    <w:rsid w:val="00927934"/>
    <w:rsid w:val="00956261"/>
    <w:rsid w:val="009626F5"/>
    <w:rsid w:val="00964BAB"/>
    <w:rsid w:val="0096740F"/>
    <w:rsid w:val="0099040A"/>
    <w:rsid w:val="00997400"/>
    <w:rsid w:val="009A055F"/>
    <w:rsid w:val="009A4F85"/>
    <w:rsid w:val="009B3A46"/>
    <w:rsid w:val="009C4E29"/>
    <w:rsid w:val="009E2C90"/>
    <w:rsid w:val="009F10FE"/>
    <w:rsid w:val="00A108C5"/>
    <w:rsid w:val="00A16DA0"/>
    <w:rsid w:val="00A55AD6"/>
    <w:rsid w:val="00A84898"/>
    <w:rsid w:val="00AA3DAC"/>
    <w:rsid w:val="00AA7BC2"/>
    <w:rsid w:val="00AB19AE"/>
    <w:rsid w:val="00AB1AFA"/>
    <w:rsid w:val="00AB40CF"/>
    <w:rsid w:val="00AC5823"/>
    <w:rsid w:val="00AD46C0"/>
    <w:rsid w:val="00AE12F3"/>
    <w:rsid w:val="00AE452F"/>
    <w:rsid w:val="00AF1F76"/>
    <w:rsid w:val="00B17C90"/>
    <w:rsid w:val="00B213DA"/>
    <w:rsid w:val="00B32969"/>
    <w:rsid w:val="00B33151"/>
    <w:rsid w:val="00B357EA"/>
    <w:rsid w:val="00B42DAE"/>
    <w:rsid w:val="00B43144"/>
    <w:rsid w:val="00B468AE"/>
    <w:rsid w:val="00B507F9"/>
    <w:rsid w:val="00B659ED"/>
    <w:rsid w:val="00B838C2"/>
    <w:rsid w:val="00B90A11"/>
    <w:rsid w:val="00B929FF"/>
    <w:rsid w:val="00BA3569"/>
    <w:rsid w:val="00BA611D"/>
    <w:rsid w:val="00BB1711"/>
    <w:rsid w:val="00BB584F"/>
    <w:rsid w:val="00BB76A4"/>
    <w:rsid w:val="00BC1CBE"/>
    <w:rsid w:val="00BD272B"/>
    <w:rsid w:val="00BE0FC6"/>
    <w:rsid w:val="00BE7CA2"/>
    <w:rsid w:val="00BF1CA5"/>
    <w:rsid w:val="00BF35EF"/>
    <w:rsid w:val="00BF6023"/>
    <w:rsid w:val="00C02536"/>
    <w:rsid w:val="00C03D50"/>
    <w:rsid w:val="00C10DD4"/>
    <w:rsid w:val="00C15EC4"/>
    <w:rsid w:val="00C1684E"/>
    <w:rsid w:val="00C226A8"/>
    <w:rsid w:val="00C80BA9"/>
    <w:rsid w:val="00C9321E"/>
    <w:rsid w:val="00CA3D27"/>
    <w:rsid w:val="00CA588E"/>
    <w:rsid w:val="00CA6556"/>
    <w:rsid w:val="00CA6C3B"/>
    <w:rsid w:val="00CC4D0E"/>
    <w:rsid w:val="00CC4E2E"/>
    <w:rsid w:val="00CD5A1A"/>
    <w:rsid w:val="00CD5BD0"/>
    <w:rsid w:val="00D03271"/>
    <w:rsid w:val="00D12F84"/>
    <w:rsid w:val="00D44217"/>
    <w:rsid w:val="00D64110"/>
    <w:rsid w:val="00D8618F"/>
    <w:rsid w:val="00DD1E3B"/>
    <w:rsid w:val="00DD2C50"/>
    <w:rsid w:val="00DD32F5"/>
    <w:rsid w:val="00DD3EC0"/>
    <w:rsid w:val="00DD421C"/>
    <w:rsid w:val="00DF0AC5"/>
    <w:rsid w:val="00E01037"/>
    <w:rsid w:val="00E103A3"/>
    <w:rsid w:val="00E2783B"/>
    <w:rsid w:val="00E4004E"/>
    <w:rsid w:val="00E43BF4"/>
    <w:rsid w:val="00E51574"/>
    <w:rsid w:val="00E541CB"/>
    <w:rsid w:val="00E55CE5"/>
    <w:rsid w:val="00E72E5C"/>
    <w:rsid w:val="00E72FF4"/>
    <w:rsid w:val="00E74779"/>
    <w:rsid w:val="00E84F95"/>
    <w:rsid w:val="00E9102B"/>
    <w:rsid w:val="00E91D0A"/>
    <w:rsid w:val="00EA5404"/>
    <w:rsid w:val="00EB1FEE"/>
    <w:rsid w:val="00EB7DA9"/>
    <w:rsid w:val="00EC22BD"/>
    <w:rsid w:val="00EF42E4"/>
    <w:rsid w:val="00F0638E"/>
    <w:rsid w:val="00F06814"/>
    <w:rsid w:val="00F10954"/>
    <w:rsid w:val="00F12319"/>
    <w:rsid w:val="00F32245"/>
    <w:rsid w:val="00F510FE"/>
    <w:rsid w:val="00F90738"/>
    <w:rsid w:val="00F90C61"/>
    <w:rsid w:val="00FD4057"/>
    <w:rsid w:val="00FF3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B65914-59AE-4047-A933-E06BE1AF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33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62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AE"/>
    <w:rPr>
      <w:rFonts w:ascii="Tahoma" w:hAnsi="Tahoma" w:cs="Tahoma"/>
      <w:sz w:val="16"/>
      <w:szCs w:val="16"/>
    </w:rPr>
  </w:style>
  <w:style w:type="paragraph" w:styleId="Kopfzeile">
    <w:name w:val="header"/>
    <w:basedOn w:val="Standard"/>
    <w:link w:val="KopfzeileZchn"/>
    <w:rsid w:val="00E72E5C"/>
    <w:pPr>
      <w:widowControl w:val="0"/>
      <w:tabs>
        <w:tab w:val="center" w:pos="4536"/>
        <w:tab w:val="right" w:pos="9072"/>
      </w:tabs>
      <w:suppressAutoHyphens/>
      <w:spacing w:after="0" w:line="240" w:lineRule="auto"/>
    </w:pPr>
    <w:rPr>
      <w:rFonts w:ascii="Arial" w:eastAsia="Times" w:hAnsi="Arial" w:cs="Times"/>
      <w:sz w:val="24"/>
      <w:szCs w:val="20"/>
      <w:lang w:eastAsia="ar-SA"/>
    </w:rPr>
  </w:style>
  <w:style w:type="character" w:customStyle="1" w:styleId="KopfzeileZchn">
    <w:name w:val="Kopfzeile Zchn"/>
    <w:basedOn w:val="Absatz-Standardschriftart"/>
    <w:link w:val="Kopfzeile"/>
    <w:rsid w:val="00E72E5C"/>
    <w:rPr>
      <w:rFonts w:ascii="Arial" w:eastAsia="Times" w:hAnsi="Arial" w:cs="Times"/>
      <w:sz w:val="24"/>
      <w:szCs w:val="20"/>
      <w:lang w:eastAsia="ar-SA"/>
    </w:rPr>
  </w:style>
  <w:style w:type="character" w:styleId="Hyperlink">
    <w:name w:val="Hyperlink"/>
    <w:basedOn w:val="Absatz-Standardschriftart"/>
    <w:uiPriority w:val="99"/>
    <w:unhideWhenUsed/>
    <w:rsid w:val="00E72E5C"/>
    <w:rPr>
      <w:color w:val="0000FF" w:themeColor="hyperlink"/>
      <w:u w:val="single"/>
    </w:rPr>
  </w:style>
  <w:style w:type="character" w:customStyle="1" w:styleId="WW8Num2z0">
    <w:name w:val="WW8Num2z0"/>
    <w:rsid w:val="00E72E5C"/>
    <w:rPr>
      <w:rFonts w:ascii="SUET Sans" w:eastAsia="Times" w:hAnsi="SUET Sans" w:cs="Times New Roman"/>
      <w:b w:val="0"/>
      <w:sz w:val="24"/>
    </w:rPr>
  </w:style>
  <w:style w:type="paragraph" w:styleId="Fuzeile">
    <w:name w:val="footer"/>
    <w:basedOn w:val="Standard"/>
    <w:link w:val="FuzeileZchn"/>
    <w:uiPriority w:val="99"/>
    <w:unhideWhenUsed/>
    <w:rsid w:val="00E72E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E5C"/>
  </w:style>
  <w:style w:type="character" w:customStyle="1" w:styleId="apple-converted-space">
    <w:name w:val="apple-converted-space"/>
    <w:basedOn w:val="Absatz-Standardschriftart"/>
    <w:rsid w:val="00574C3E"/>
  </w:style>
  <w:style w:type="paragraph" w:styleId="StandardWeb">
    <w:name w:val="Normal (Web)"/>
    <w:basedOn w:val="Standard"/>
    <w:uiPriority w:val="99"/>
    <w:semiHidden/>
    <w:unhideWhenUsed/>
    <w:rsid w:val="00BB584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51453">
      <w:bodyDiv w:val="1"/>
      <w:marLeft w:val="0"/>
      <w:marRight w:val="0"/>
      <w:marTop w:val="0"/>
      <w:marBottom w:val="0"/>
      <w:divBdr>
        <w:top w:val="none" w:sz="0" w:space="0" w:color="auto"/>
        <w:left w:val="none" w:sz="0" w:space="0" w:color="auto"/>
        <w:bottom w:val="none" w:sz="0" w:space="0" w:color="auto"/>
        <w:right w:val="none" w:sz="0" w:space="0" w:color="auto"/>
      </w:divBdr>
    </w:div>
    <w:div w:id="490214864">
      <w:bodyDiv w:val="1"/>
      <w:marLeft w:val="0"/>
      <w:marRight w:val="0"/>
      <w:marTop w:val="0"/>
      <w:marBottom w:val="0"/>
      <w:divBdr>
        <w:top w:val="none" w:sz="0" w:space="0" w:color="auto"/>
        <w:left w:val="none" w:sz="0" w:space="0" w:color="auto"/>
        <w:bottom w:val="none" w:sz="0" w:space="0" w:color="auto"/>
        <w:right w:val="none" w:sz="0" w:space="0" w:color="auto"/>
      </w:divBdr>
    </w:div>
    <w:div w:id="179563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20C4D-425E-4DB1-AF70-1ED78E3D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2107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Heike Bruchertseifer</dc:creator>
  <cp:lastModifiedBy>Heike</cp:lastModifiedBy>
  <cp:revision>2</cp:revision>
  <cp:lastPrinted>2016-12-06T13:10:00Z</cp:lastPrinted>
  <dcterms:created xsi:type="dcterms:W3CDTF">2018-01-17T11:05:00Z</dcterms:created>
  <dcterms:modified xsi:type="dcterms:W3CDTF">2018-01-17T11:05:00Z</dcterms:modified>
</cp:coreProperties>
</file>