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E72E5C" w:rsidP="00E72E5C">
      <w:pPr>
        <w:pStyle w:val="Kopfzeile"/>
        <w:tabs>
          <w:tab w:val="clear" w:pos="4536"/>
          <w:tab w:val="clear" w:pos="9072"/>
        </w:tabs>
        <w:snapToGrid w:val="0"/>
        <w:jc w:val="both"/>
        <w:rPr>
          <w:rFonts w:cs="Arial"/>
          <w:b/>
          <w:szCs w:val="24"/>
        </w:rPr>
      </w:pPr>
      <w:r>
        <w:rPr>
          <w:rFonts w:cs="Arial"/>
          <w:b/>
          <w:noProof/>
          <w:szCs w:val="24"/>
          <w:lang w:eastAsia="de-DE"/>
        </w:rPr>
        <w:drawing>
          <wp:anchor distT="0" distB="0" distL="114300" distR="114300" simplePos="0" relativeHeight="251658240" behindDoc="0" locked="0" layoutInCell="1" allowOverlap="1">
            <wp:simplePos x="0" y="0"/>
            <wp:positionH relativeFrom="column">
              <wp:posOffset>3691255</wp:posOffset>
            </wp:positionH>
            <wp:positionV relativeFrom="paragraph">
              <wp:posOffset>109855</wp:posOffset>
            </wp:positionV>
            <wp:extent cx="2095500" cy="723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723900"/>
                    </a:xfrm>
                    <a:prstGeom prst="rect">
                      <a:avLst/>
                    </a:prstGeom>
                    <a:solidFill>
                      <a:srgbClr val="FFFFFF"/>
                    </a:solidFill>
                    <a:ln w="9525">
                      <a:noFill/>
                      <a:miter lim="800000"/>
                      <a:headEnd/>
                      <a:tailEnd/>
                    </a:ln>
                  </pic:spPr>
                </pic:pic>
              </a:graphicData>
            </a:graphic>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F67688">
        <w:rPr>
          <w:rFonts w:asciiTheme="minorHAnsi" w:hAnsiTheme="minorHAnsi" w:cstheme="minorHAnsi"/>
          <w:sz w:val="40"/>
          <w:szCs w:val="40"/>
        </w:rPr>
        <w:t xml:space="preserve"> 6</w:t>
      </w:r>
      <w:r w:rsidR="009E1869">
        <w:rPr>
          <w:rFonts w:asciiTheme="minorHAnsi" w:hAnsiTheme="minorHAnsi" w:cstheme="minorHAnsi"/>
          <w:sz w:val="40"/>
          <w:szCs w:val="40"/>
        </w:rPr>
        <w:t>/2017</w:t>
      </w:r>
    </w:p>
    <w:p w:rsidR="00E72E5C" w:rsidRPr="00F54000"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Cs w:val="24"/>
        </w:rPr>
      </w:pPr>
    </w:p>
    <w:p w:rsidR="00E72E5C" w:rsidRPr="00A84898" w:rsidRDefault="008A33CD" w:rsidP="00E72E5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820491">
        <w:rPr>
          <w:rFonts w:asciiTheme="minorHAnsi" w:hAnsiTheme="minorHAnsi" w:cstheme="minorHAnsi"/>
          <w:szCs w:val="24"/>
        </w:rPr>
        <w:t xml:space="preserve">     </w:t>
      </w:r>
      <w:r w:rsidR="00054AE5">
        <w:rPr>
          <w:rFonts w:asciiTheme="minorHAnsi" w:hAnsiTheme="minorHAnsi" w:cstheme="minorHAnsi"/>
          <w:szCs w:val="24"/>
        </w:rPr>
        <w:t xml:space="preserve"> </w:t>
      </w:r>
      <w:r w:rsidR="00835F63">
        <w:rPr>
          <w:rFonts w:asciiTheme="minorHAnsi" w:hAnsiTheme="minorHAnsi" w:cstheme="minorHAnsi"/>
          <w:sz w:val="22"/>
          <w:szCs w:val="22"/>
        </w:rPr>
        <w:t>Treffurt, den 6.11.</w:t>
      </w:r>
      <w:r w:rsidR="00F67688">
        <w:rPr>
          <w:rFonts w:asciiTheme="minorHAnsi" w:hAnsiTheme="minorHAnsi" w:cstheme="minorHAnsi"/>
          <w:sz w:val="22"/>
          <w:szCs w:val="22"/>
        </w:rPr>
        <w:t xml:space="preserve"> </w:t>
      </w:r>
      <w:r w:rsidR="009E1869">
        <w:rPr>
          <w:rFonts w:asciiTheme="minorHAnsi" w:hAnsiTheme="minorHAnsi" w:cstheme="minorHAnsi"/>
          <w:sz w:val="22"/>
          <w:szCs w:val="22"/>
        </w:rPr>
        <w:t>2017</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820491" w:rsidRDefault="00820491" w:rsidP="007B0834">
      <w:pPr>
        <w:snapToGrid w:val="0"/>
        <w:spacing w:line="300" w:lineRule="atLeast"/>
        <w:ind w:right="58"/>
        <w:jc w:val="both"/>
        <w:rPr>
          <w:rFonts w:cs="Arial"/>
          <w:b/>
          <w:iCs/>
          <w:sz w:val="24"/>
          <w:szCs w:val="24"/>
        </w:rPr>
      </w:pPr>
    </w:p>
    <w:p w:rsidR="009C4E29" w:rsidRPr="00820491" w:rsidRDefault="00AA3DAC" w:rsidP="007B0834">
      <w:pPr>
        <w:snapToGrid w:val="0"/>
        <w:spacing w:line="300" w:lineRule="atLeast"/>
        <w:ind w:right="58"/>
        <w:jc w:val="both"/>
        <w:rPr>
          <w:rFonts w:cs="Arial"/>
          <w:iCs/>
          <w:sz w:val="24"/>
          <w:szCs w:val="24"/>
        </w:rPr>
      </w:pPr>
      <w:r w:rsidRPr="00820491">
        <w:rPr>
          <w:rFonts w:cs="Arial"/>
          <w:iCs/>
          <w:sz w:val="24"/>
          <w:szCs w:val="24"/>
        </w:rPr>
        <w:t>Carl Warrlich GmbH</w:t>
      </w:r>
      <w:r w:rsidR="00794315">
        <w:rPr>
          <w:rFonts w:cs="Arial"/>
          <w:iCs/>
          <w:sz w:val="24"/>
          <w:szCs w:val="24"/>
        </w:rPr>
        <w:t>:</w:t>
      </w:r>
    </w:p>
    <w:p w:rsidR="004E513F" w:rsidRDefault="00614733" w:rsidP="007B0834">
      <w:pPr>
        <w:snapToGrid w:val="0"/>
        <w:spacing w:line="300" w:lineRule="atLeast"/>
        <w:ind w:right="58"/>
        <w:jc w:val="both"/>
        <w:rPr>
          <w:rFonts w:cs="Arial"/>
          <w:b/>
          <w:iCs/>
          <w:sz w:val="24"/>
          <w:szCs w:val="24"/>
        </w:rPr>
      </w:pPr>
      <w:r>
        <w:rPr>
          <w:rFonts w:cs="Arial"/>
          <w:b/>
          <w:sz w:val="24"/>
          <w:szCs w:val="24"/>
        </w:rPr>
        <w:t>Umsatz-Brennpunkt</w:t>
      </w:r>
      <w:r w:rsidR="00A52ED9">
        <w:rPr>
          <w:rFonts w:cs="Arial"/>
          <w:b/>
          <w:sz w:val="24"/>
          <w:szCs w:val="24"/>
        </w:rPr>
        <w:t xml:space="preserve"> im Winter: FLAMAX</w:t>
      </w:r>
      <w:r w:rsidR="00A52ED9" w:rsidRPr="00A52ED9">
        <w:rPr>
          <w:rFonts w:cstheme="minorHAnsi"/>
          <w:b/>
          <w:sz w:val="24"/>
          <w:szCs w:val="24"/>
        </w:rPr>
        <w:t xml:space="preserve">™ Der Grüne-Weiße </w:t>
      </w:r>
      <w:proofErr w:type="spellStart"/>
      <w:r w:rsidR="00A52ED9" w:rsidRPr="00A52ED9">
        <w:rPr>
          <w:rFonts w:cstheme="minorHAnsi"/>
          <w:b/>
          <w:sz w:val="24"/>
          <w:szCs w:val="24"/>
        </w:rPr>
        <w:t>Lampenöl</w:t>
      </w:r>
      <w:proofErr w:type="spellEnd"/>
      <w:r w:rsidR="00A52ED9">
        <w:rPr>
          <w:rFonts w:cstheme="minorHAnsi"/>
          <w:sz w:val="24"/>
          <w:szCs w:val="24"/>
        </w:rPr>
        <w:t xml:space="preserve"> </w:t>
      </w:r>
    </w:p>
    <w:p w:rsidR="00614733" w:rsidRDefault="00794315" w:rsidP="00820491">
      <w:pPr>
        <w:snapToGrid w:val="0"/>
        <w:spacing w:line="300" w:lineRule="atLeast"/>
        <w:ind w:right="58"/>
        <w:jc w:val="both"/>
        <w:rPr>
          <w:rFonts w:cs="Arial"/>
          <w:sz w:val="24"/>
          <w:szCs w:val="24"/>
        </w:rPr>
      </w:pPr>
      <w:r>
        <w:rPr>
          <w:rFonts w:cs="Arial"/>
          <w:iCs/>
          <w:sz w:val="24"/>
          <w:szCs w:val="24"/>
        </w:rPr>
        <w:t>Ein natürliches warmes Licht,</w:t>
      </w:r>
      <w:r w:rsidR="00B4371E">
        <w:rPr>
          <w:rFonts w:cs="Arial"/>
          <w:iCs/>
          <w:sz w:val="24"/>
          <w:szCs w:val="24"/>
        </w:rPr>
        <w:t xml:space="preserve"> das</w:t>
      </w:r>
      <w:r>
        <w:rPr>
          <w:rFonts w:cs="Arial"/>
          <w:iCs/>
          <w:sz w:val="24"/>
          <w:szCs w:val="24"/>
        </w:rPr>
        <w:t xml:space="preserve"> auch im Innenbereich </w:t>
      </w:r>
      <w:r w:rsidR="00614733">
        <w:rPr>
          <w:rFonts w:cs="Arial"/>
          <w:iCs/>
          <w:sz w:val="24"/>
          <w:szCs w:val="24"/>
        </w:rPr>
        <w:t xml:space="preserve">geruchs- und rußfrei funktioniert, ist gerade in den dunklen Wintermonaten bei Verbrauchern besonders beliebt. </w:t>
      </w:r>
      <w:r w:rsidR="00B4371E">
        <w:rPr>
          <w:rFonts w:cs="Arial"/>
          <w:iCs/>
          <w:sz w:val="24"/>
          <w:szCs w:val="24"/>
        </w:rPr>
        <w:t xml:space="preserve">Für den Handel bedeutet diese starke Nachfrage nach Lampenölen und Zubehör wie Dochten und Streichhölzern ein zusätzliches Umsatz-Plus. Mit ihrem </w:t>
      </w:r>
      <w:r w:rsidR="00B4371E" w:rsidRPr="00614733">
        <w:rPr>
          <w:rFonts w:cs="Arial"/>
          <w:sz w:val="24"/>
          <w:szCs w:val="24"/>
        </w:rPr>
        <w:t>FLAMAX</w:t>
      </w:r>
      <w:r w:rsidR="00B4371E" w:rsidRPr="00614733">
        <w:rPr>
          <w:rFonts w:cstheme="minorHAnsi"/>
          <w:sz w:val="24"/>
          <w:szCs w:val="24"/>
        </w:rPr>
        <w:t>™</w:t>
      </w:r>
      <w:r w:rsidR="00B4371E">
        <w:rPr>
          <w:rFonts w:cstheme="minorHAnsi"/>
          <w:sz w:val="24"/>
          <w:szCs w:val="24"/>
        </w:rPr>
        <w:t xml:space="preserve"> Biologisches </w:t>
      </w:r>
      <w:proofErr w:type="spellStart"/>
      <w:r w:rsidR="00B4371E">
        <w:rPr>
          <w:rFonts w:cstheme="minorHAnsi"/>
          <w:sz w:val="24"/>
          <w:szCs w:val="24"/>
        </w:rPr>
        <w:t>Lampenöl</w:t>
      </w:r>
      <w:proofErr w:type="spellEnd"/>
      <w:r w:rsidR="00B4371E">
        <w:rPr>
          <w:rFonts w:cs="Arial"/>
          <w:iCs/>
          <w:sz w:val="24"/>
          <w:szCs w:val="24"/>
        </w:rPr>
        <w:t xml:space="preserve"> offeriert die C</w:t>
      </w:r>
      <w:r w:rsidR="00614733">
        <w:rPr>
          <w:rFonts w:cs="Arial"/>
          <w:iCs/>
          <w:sz w:val="24"/>
          <w:szCs w:val="24"/>
        </w:rPr>
        <w:t xml:space="preserve">arl Warrlich GmbH </w:t>
      </w:r>
      <w:r w:rsidR="00B4371E">
        <w:rPr>
          <w:rFonts w:cs="Arial"/>
          <w:iCs/>
          <w:sz w:val="24"/>
          <w:szCs w:val="24"/>
        </w:rPr>
        <w:t>jetzt</w:t>
      </w:r>
      <w:r w:rsidR="00614733">
        <w:rPr>
          <w:rFonts w:cs="Arial"/>
          <w:sz w:val="24"/>
          <w:szCs w:val="24"/>
        </w:rPr>
        <w:t xml:space="preserve"> eine biologische Alternative zu her</w:t>
      </w:r>
      <w:r w:rsidR="008D658F">
        <w:rPr>
          <w:rFonts w:cs="Arial"/>
          <w:sz w:val="24"/>
          <w:szCs w:val="24"/>
        </w:rPr>
        <w:t>kömmlichen Lampenölen und besch</w:t>
      </w:r>
      <w:r w:rsidR="00614733">
        <w:rPr>
          <w:rFonts w:cs="Arial"/>
          <w:sz w:val="24"/>
          <w:szCs w:val="24"/>
        </w:rPr>
        <w:t xml:space="preserve">ert dem Handel damit </w:t>
      </w:r>
      <w:r w:rsidR="00A52ED9">
        <w:rPr>
          <w:rFonts w:cs="Arial"/>
          <w:sz w:val="24"/>
          <w:szCs w:val="24"/>
        </w:rPr>
        <w:t xml:space="preserve">im Winter einen weiteren </w:t>
      </w:r>
      <w:r w:rsidR="00614733">
        <w:rPr>
          <w:rFonts w:cs="Arial"/>
          <w:sz w:val="24"/>
          <w:szCs w:val="24"/>
        </w:rPr>
        <w:t xml:space="preserve">attraktiven Umsatz-Brennpunkt. </w:t>
      </w:r>
    </w:p>
    <w:p w:rsidR="00794315" w:rsidRDefault="00614733" w:rsidP="00820491">
      <w:pPr>
        <w:snapToGrid w:val="0"/>
        <w:spacing w:line="300" w:lineRule="atLeast"/>
        <w:ind w:right="58"/>
        <w:jc w:val="both"/>
        <w:rPr>
          <w:rFonts w:cstheme="minorHAnsi"/>
          <w:sz w:val="24"/>
          <w:szCs w:val="24"/>
        </w:rPr>
      </w:pPr>
      <w:r>
        <w:rPr>
          <w:rFonts w:ascii="Calibri" w:eastAsia="Calibri" w:hAnsi="Calibri" w:cs="Calibri"/>
          <w:iCs/>
          <w:sz w:val="24"/>
          <w:szCs w:val="24"/>
        </w:rPr>
        <w:t>Das</w:t>
      </w:r>
      <w:r w:rsidR="00A52ED9">
        <w:rPr>
          <w:rFonts w:ascii="Calibri" w:eastAsia="Calibri" w:hAnsi="Calibri" w:cs="Calibri"/>
          <w:iCs/>
          <w:sz w:val="24"/>
          <w:szCs w:val="24"/>
        </w:rPr>
        <w:t xml:space="preserve"> </w:t>
      </w:r>
      <w:r w:rsidR="00A52ED9" w:rsidRPr="00614733">
        <w:rPr>
          <w:rFonts w:cs="Arial"/>
          <w:sz w:val="24"/>
          <w:szCs w:val="24"/>
        </w:rPr>
        <w:t>FLAMAX</w:t>
      </w:r>
      <w:r w:rsidR="00A52ED9" w:rsidRPr="00614733">
        <w:rPr>
          <w:rFonts w:cstheme="minorHAnsi"/>
          <w:sz w:val="24"/>
          <w:szCs w:val="24"/>
        </w:rPr>
        <w:t>™</w:t>
      </w:r>
      <w:r w:rsidR="00A52ED9">
        <w:rPr>
          <w:rFonts w:cstheme="minorHAnsi"/>
          <w:sz w:val="24"/>
          <w:szCs w:val="24"/>
        </w:rPr>
        <w:t xml:space="preserve"> Biologische </w:t>
      </w:r>
      <w:proofErr w:type="spellStart"/>
      <w:r w:rsidR="00A52ED9">
        <w:rPr>
          <w:rFonts w:cstheme="minorHAnsi"/>
          <w:sz w:val="24"/>
          <w:szCs w:val="24"/>
        </w:rPr>
        <w:t>Lampenöl</w:t>
      </w:r>
      <w:proofErr w:type="spellEnd"/>
      <w:r w:rsidR="00A52ED9">
        <w:rPr>
          <w:rFonts w:cstheme="minorHAnsi"/>
          <w:sz w:val="24"/>
          <w:szCs w:val="24"/>
        </w:rPr>
        <w:t xml:space="preserve"> aus der Produktserie </w:t>
      </w:r>
      <w:r w:rsidR="00A52ED9" w:rsidRPr="00614733">
        <w:rPr>
          <w:rFonts w:cs="Arial"/>
          <w:sz w:val="24"/>
          <w:szCs w:val="24"/>
        </w:rPr>
        <w:t>FLAMAX</w:t>
      </w:r>
      <w:r w:rsidR="00A52ED9" w:rsidRPr="00614733">
        <w:rPr>
          <w:rFonts w:cstheme="minorHAnsi"/>
          <w:sz w:val="24"/>
          <w:szCs w:val="24"/>
        </w:rPr>
        <w:t>™</w:t>
      </w:r>
      <w:r w:rsidR="00A52ED9">
        <w:rPr>
          <w:rFonts w:cstheme="minorHAnsi"/>
          <w:sz w:val="24"/>
          <w:szCs w:val="24"/>
        </w:rPr>
        <w:t xml:space="preserve"> Der Grüne-Weiße-Anzündhilfen ist ein geruchsneutrales Öl auf natürlicher Basis nachwachsender Rohstoffe. Es eignet sich aufgrund seiner Zusammensetzung aus </w:t>
      </w:r>
      <w:r w:rsidR="00B4371E">
        <w:rPr>
          <w:rFonts w:cstheme="minorHAnsi"/>
          <w:sz w:val="24"/>
          <w:szCs w:val="24"/>
        </w:rPr>
        <w:t>biologischen</w:t>
      </w:r>
      <w:r w:rsidR="00A52ED9">
        <w:rPr>
          <w:rFonts w:cstheme="minorHAnsi"/>
          <w:sz w:val="24"/>
          <w:szCs w:val="24"/>
        </w:rPr>
        <w:t xml:space="preserve"> Bestandteilen ideal für den Einsatz von Öllampen im Wohnraum und schafft ein angenehmes Licht für gemütliche Stunden.  </w:t>
      </w:r>
    </w:p>
    <w:p w:rsidR="00E91AB3" w:rsidRDefault="00E91AB3" w:rsidP="00820491">
      <w:pPr>
        <w:snapToGrid w:val="0"/>
        <w:spacing w:line="300" w:lineRule="atLeast"/>
        <w:ind w:right="58"/>
        <w:jc w:val="both"/>
        <w:rPr>
          <w:rFonts w:cstheme="minorHAnsi"/>
          <w:sz w:val="24"/>
          <w:szCs w:val="24"/>
        </w:rPr>
      </w:pPr>
      <w:r>
        <w:rPr>
          <w:rFonts w:cstheme="minorHAnsi"/>
          <w:sz w:val="24"/>
          <w:szCs w:val="24"/>
        </w:rPr>
        <w:t xml:space="preserve">Zur Abrundung des </w:t>
      </w:r>
      <w:r w:rsidRPr="00614733">
        <w:rPr>
          <w:rFonts w:cs="Arial"/>
          <w:sz w:val="24"/>
          <w:szCs w:val="24"/>
        </w:rPr>
        <w:t>FLAMAX</w:t>
      </w:r>
      <w:r w:rsidRPr="00614733">
        <w:rPr>
          <w:rFonts w:cstheme="minorHAnsi"/>
          <w:sz w:val="24"/>
          <w:szCs w:val="24"/>
        </w:rPr>
        <w:t>™</w:t>
      </w:r>
      <w:r>
        <w:rPr>
          <w:rFonts w:cstheme="minorHAnsi"/>
          <w:sz w:val="24"/>
          <w:szCs w:val="24"/>
        </w:rPr>
        <w:t xml:space="preserve"> Der Grüne-Weiße-Sortiments bietet die Carl Warrlich GmbH auch das passende Zubehör. Dazu zählen hochwertige Dochte in unterschiedlichen Stärken und Längen, denn das Material des Dochtes in Kombination mit der Flechtart und dem passenden Brennstoff ist entscheidend für ein optimales Brennverhalten. </w:t>
      </w:r>
      <w:r w:rsidR="00B4371E">
        <w:rPr>
          <w:rFonts w:cstheme="minorHAnsi"/>
          <w:sz w:val="24"/>
          <w:szCs w:val="24"/>
        </w:rPr>
        <w:t xml:space="preserve">Die eigentliche Flamme lässt sich bequem und vor allem sicher mit Warrlich Langzündhölzern entfachen. </w:t>
      </w:r>
    </w:p>
    <w:p w:rsidR="00820491" w:rsidRDefault="00B4371E" w:rsidP="00820491">
      <w:pPr>
        <w:snapToGrid w:val="0"/>
        <w:spacing w:line="300" w:lineRule="atLeast"/>
        <w:ind w:right="58"/>
        <w:jc w:val="both"/>
        <w:rPr>
          <w:rFonts w:cs="Arial"/>
          <w:sz w:val="24"/>
          <w:szCs w:val="24"/>
        </w:rPr>
      </w:pPr>
      <w:r>
        <w:rPr>
          <w:rFonts w:ascii="Calibri" w:eastAsia="Calibri" w:hAnsi="Calibri" w:cs="Calibri"/>
          <w:iCs/>
          <w:sz w:val="24"/>
          <w:szCs w:val="24"/>
        </w:rPr>
        <w:t xml:space="preserve">Das </w:t>
      </w:r>
      <w:r w:rsidRPr="00614733">
        <w:rPr>
          <w:rFonts w:cs="Arial"/>
          <w:sz w:val="24"/>
          <w:szCs w:val="24"/>
        </w:rPr>
        <w:t>FLAMAX</w:t>
      </w:r>
      <w:r w:rsidRPr="00614733">
        <w:rPr>
          <w:rFonts w:cstheme="minorHAnsi"/>
          <w:sz w:val="24"/>
          <w:szCs w:val="24"/>
        </w:rPr>
        <w:t>™</w:t>
      </w:r>
      <w:r>
        <w:rPr>
          <w:rFonts w:cstheme="minorHAnsi"/>
          <w:sz w:val="24"/>
          <w:szCs w:val="24"/>
        </w:rPr>
        <w:t xml:space="preserve"> Biologische </w:t>
      </w:r>
      <w:proofErr w:type="spellStart"/>
      <w:r>
        <w:rPr>
          <w:rFonts w:cstheme="minorHAnsi"/>
          <w:sz w:val="24"/>
          <w:szCs w:val="24"/>
        </w:rPr>
        <w:t>Lampenöl</w:t>
      </w:r>
      <w:proofErr w:type="spellEnd"/>
      <w:r>
        <w:rPr>
          <w:rFonts w:cstheme="minorHAnsi"/>
          <w:sz w:val="24"/>
          <w:szCs w:val="24"/>
        </w:rPr>
        <w:t xml:space="preserve"> sollte ebenso wenig</w:t>
      </w:r>
      <w:r w:rsidR="008D658F">
        <w:rPr>
          <w:rFonts w:cstheme="minorHAnsi"/>
          <w:sz w:val="24"/>
          <w:szCs w:val="24"/>
        </w:rPr>
        <w:t xml:space="preserve"> im Anzünd-Kompetenzshop fehlen,</w:t>
      </w:r>
      <w:r>
        <w:rPr>
          <w:rFonts w:cstheme="minorHAnsi"/>
          <w:sz w:val="24"/>
          <w:szCs w:val="24"/>
        </w:rPr>
        <w:t xml:space="preserve"> wie die geeigneten Streichhölzer und eine Auswahl an Lampendochten. Die Umsatz-Bringer für die Winterzeit können aber auch an der </w:t>
      </w:r>
      <w:proofErr w:type="spellStart"/>
      <w:r>
        <w:rPr>
          <w:rFonts w:cstheme="minorHAnsi"/>
          <w:sz w:val="24"/>
          <w:szCs w:val="24"/>
        </w:rPr>
        <w:t>Lochwand</w:t>
      </w:r>
      <w:proofErr w:type="spellEnd"/>
      <w:r>
        <w:rPr>
          <w:rFonts w:cstheme="minorHAnsi"/>
          <w:sz w:val="24"/>
          <w:szCs w:val="24"/>
        </w:rPr>
        <w:t xml:space="preserve"> und zusätzlich in ein</w:t>
      </w:r>
      <w:r w:rsidR="008D658F">
        <w:rPr>
          <w:rFonts w:cstheme="minorHAnsi"/>
          <w:sz w:val="24"/>
          <w:szCs w:val="24"/>
        </w:rPr>
        <w:t>em Thekenaufsteller in das Blickfeld</w:t>
      </w:r>
      <w:r>
        <w:rPr>
          <w:rFonts w:cstheme="minorHAnsi"/>
          <w:sz w:val="24"/>
          <w:szCs w:val="24"/>
        </w:rPr>
        <w:t xml:space="preserve"> des Verbrauchers gerückt werden. </w:t>
      </w:r>
      <w:r w:rsidR="00D174A6">
        <w:rPr>
          <w:rFonts w:cs="Arial"/>
          <w:iCs/>
          <w:sz w:val="24"/>
          <w:szCs w:val="24"/>
        </w:rPr>
        <w:t xml:space="preserve">                                     </w:t>
      </w:r>
      <w:r w:rsidR="00820491">
        <w:rPr>
          <w:rFonts w:cs="Arial"/>
          <w:sz w:val="24"/>
          <w:szCs w:val="24"/>
        </w:rPr>
        <w:t>(Warrlich)</w:t>
      </w:r>
    </w:p>
    <w:p w:rsidR="00B45C48" w:rsidRPr="00DD1E3B" w:rsidRDefault="00B45C48" w:rsidP="00B45C48">
      <w:pPr>
        <w:spacing w:line="300" w:lineRule="atLeast"/>
        <w:jc w:val="both"/>
        <w:rPr>
          <w:rFonts w:ascii="Calibri" w:eastAsia="Calibri" w:hAnsi="Calibri" w:cs="Arial"/>
        </w:rPr>
      </w:pPr>
      <w:r w:rsidRPr="00DD1E3B">
        <w:rPr>
          <w:rFonts w:ascii="Calibri" w:eastAsia="Calibri" w:hAnsi="Calibri" w:cs="Arial"/>
        </w:rPr>
        <w:t>Mehr Inf</w:t>
      </w:r>
      <w:r w:rsidR="001577D5">
        <w:rPr>
          <w:rFonts w:ascii="Calibri" w:eastAsia="Calibri" w:hAnsi="Calibri" w:cs="Arial"/>
        </w:rPr>
        <w:t>ormationen unter www.warrlich.eu</w:t>
      </w:r>
    </w:p>
    <w:p w:rsidR="000D47B9" w:rsidRDefault="000D47B9" w:rsidP="000D47B9">
      <w:pPr>
        <w:pStyle w:val="Kopfzeile"/>
        <w:tabs>
          <w:tab w:val="clear" w:pos="4536"/>
          <w:tab w:val="clear" w:pos="9072"/>
        </w:tabs>
        <w:snapToGrid w:val="0"/>
        <w:jc w:val="both"/>
        <w:rPr>
          <w:rFonts w:cs="Arial"/>
          <w:sz w:val="18"/>
          <w:szCs w:val="18"/>
        </w:rPr>
      </w:pPr>
    </w:p>
    <w:p w:rsidR="00207CB0" w:rsidRDefault="00B4371E" w:rsidP="00F90738">
      <w:pPr>
        <w:pStyle w:val="Kopfzeile"/>
        <w:tabs>
          <w:tab w:val="clear" w:pos="4536"/>
          <w:tab w:val="clear" w:pos="9072"/>
        </w:tabs>
        <w:snapToGrid w:val="0"/>
        <w:jc w:val="both"/>
        <w:rPr>
          <w:rFonts w:cs="Arial"/>
          <w:sz w:val="18"/>
          <w:szCs w:val="18"/>
        </w:rPr>
      </w:pPr>
      <w:r>
        <w:rPr>
          <w:rFonts w:cs="Arial"/>
          <w:sz w:val="18"/>
          <w:szCs w:val="18"/>
        </w:rPr>
        <w:t xml:space="preserve">Text ca. </w:t>
      </w:r>
      <w:proofErr w:type="gramStart"/>
      <w:r>
        <w:rPr>
          <w:rFonts w:cs="Arial"/>
          <w:sz w:val="18"/>
          <w:szCs w:val="18"/>
        </w:rPr>
        <w:t>1.712</w:t>
      </w:r>
      <w:r w:rsidR="008A0920">
        <w:rPr>
          <w:rFonts w:cs="Arial"/>
          <w:sz w:val="18"/>
          <w:szCs w:val="18"/>
        </w:rPr>
        <w:t xml:space="preserve"> </w:t>
      </w:r>
      <w:r w:rsidR="000D47B9" w:rsidRPr="00F90738">
        <w:rPr>
          <w:rFonts w:cs="Arial"/>
          <w:sz w:val="18"/>
          <w:szCs w:val="18"/>
        </w:rPr>
        <w:t xml:space="preserve"> Zeichen</w:t>
      </w:r>
      <w:proofErr w:type="gramEnd"/>
      <w:r w:rsidR="000D47B9" w:rsidRPr="00F90738">
        <w:rPr>
          <w:rFonts w:cs="Arial"/>
          <w:sz w:val="18"/>
          <w:szCs w:val="18"/>
        </w:rPr>
        <w:t>, Abdruc</w:t>
      </w:r>
      <w:r w:rsidR="000D47B9">
        <w:rPr>
          <w:rFonts w:cs="Arial"/>
          <w:sz w:val="18"/>
          <w:szCs w:val="18"/>
        </w:rPr>
        <w:t>k honorarfrei * Beleg erbeten</w:t>
      </w:r>
    </w:p>
    <w:p w:rsidR="00771C80" w:rsidRDefault="00771C80" w:rsidP="00F90738">
      <w:pPr>
        <w:pStyle w:val="Kopfzeile"/>
        <w:tabs>
          <w:tab w:val="clear" w:pos="4536"/>
          <w:tab w:val="clear" w:pos="9072"/>
        </w:tabs>
        <w:snapToGrid w:val="0"/>
        <w:jc w:val="both"/>
        <w:rPr>
          <w:rFonts w:cs="Arial"/>
          <w:sz w:val="18"/>
          <w:szCs w:val="18"/>
        </w:rPr>
      </w:pPr>
    </w:p>
    <w:p w:rsidR="00771C80" w:rsidRPr="00771C80" w:rsidRDefault="00771C80" w:rsidP="00771C80">
      <w:pPr>
        <w:pStyle w:val="Kopfzeile"/>
        <w:tabs>
          <w:tab w:val="clear" w:pos="4536"/>
          <w:tab w:val="clear" w:pos="9072"/>
        </w:tabs>
        <w:snapToGrid w:val="0"/>
        <w:jc w:val="both"/>
        <w:rPr>
          <w:rFonts w:cs="Arial"/>
          <w:b/>
          <w:color w:val="000000"/>
          <w:sz w:val="18"/>
          <w:szCs w:val="18"/>
        </w:rPr>
      </w:pPr>
      <w:r w:rsidRPr="00771C80">
        <w:rPr>
          <w:rFonts w:cs="Arial"/>
          <w:b/>
          <w:sz w:val="18"/>
          <w:szCs w:val="18"/>
        </w:rPr>
        <w:t>Text und Bild zum Download auch unter http://www.warrlich.eu/presse</w:t>
      </w:r>
    </w:p>
    <w:p w:rsidR="00771C80" w:rsidRDefault="00771C80" w:rsidP="00F90738">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7D2CCB" w:rsidRDefault="007D2CCB" w:rsidP="00997400">
      <w:pPr>
        <w:pStyle w:val="Kopfzeile"/>
        <w:tabs>
          <w:tab w:val="clear" w:pos="4536"/>
          <w:tab w:val="clear" w:pos="9072"/>
        </w:tabs>
        <w:snapToGrid w:val="0"/>
        <w:jc w:val="both"/>
        <w:rPr>
          <w:rFonts w:cs="Arial"/>
          <w:sz w:val="18"/>
          <w:szCs w:val="18"/>
        </w:rPr>
      </w:pPr>
    </w:p>
    <w:p w:rsidR="007D2CCB" w:rsidRDefault="007D2CCB" w:rsidP="00997400">
      <w:pPr>
        <w:pStyle w:val="Kopfzeile"/>
        <w:tabs>
          <w:tab w:val="clear" w:pos="4536"/>
          <w:tab w:val="clear" w:pos="9072"/>
        </w:tabs>
        <w:snapToGrid w:val="0"/>
        <w:jc w:val="both"/>
        <w:rPr>
          <w:rFonts w:cs="Arial"/>
          <w:sz w:val="18"/>
          <w:szCs w:val="18"/>
        </w:rPr>
      </w:pPr>
    </w:p>
    <w:p w:rsidR="007D2CCB" w:rsidRDefault="007D2CCB"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792237" w:rsidRDefault="00792237"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B4371E" w:rsidP="00997400">
      <w:pPr>
        <w:pStyle w:val="Kopfzeile"/>
        <w:tabs>
          <w:tab w:val="clear" w:pos="4536"/>
          <w:tab w:val="clear" w:pos="9072"/>
        </w:tabs>
        <w:snapToGrid w:val="0"/>
        <w:jc w:val="both"/>
        <w:rPr>
          <w:rFonts w:cs="Arial"/>
          <w:sz w:val="18"/>
          <w:szCs w:val="18"/>
        </w:rPr>
      </w:pPr>
      <w:r>
        <w:rPr>
          <w:rFonts w:cs="Arial"/>
          <w:noProof/>
          <w:sz w:val="18"/>
          <w:szCs w:val="18"/>
        </w:rPr>
        <w:drawing>
          <wp:inline distT="0" distB="0" distL="0" distR="0">
            <wp:extent cx="5760720" cy="38398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el_krummrich-16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39845"/>
                    </a:xfrm>
                    <a:prstGeom prst="rect">
                      <a:avLst/>
                    </a:prstGeom>
                  </pic:spPr>
                </pic:pic>
              </a:graphicData>
            </a:graphic>
          </wp:inline>
        </w:drawing>
      </w: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824327" w:rsidRDefault="007D2CCB" w:rsidP="00824327">
      <w:pPr>
        <w:pStyle w:val="Kopfzeile"/>
        <w:tabs>
          <w:tab w:val="clear" w:pos="4536"/>
          <w:tab w:val="clear" w:pos="9072"/>
        </w:tabs>
        <w:jc w:val="both"/>
        <w:rPr>
          <w:rFonts w:cs="Arial"/>
          <w:color w:val="000000"/>
          <w:sz w:val="18"/>
          <w:szCs w:val="18"/>
        </w:rPr>
      </w:pPr>
      <w:r>
        <w:rPr>
          <w:rFonts w:cs="Arial"/>
          <w:color w:val="000000"/>
          <w:sz w:val="18"/>
          <w:szCs w:val="18"/>
        </w:rPr>
        <w:t>Foto: Warrlich/2017</w:t>
      </w:r>
    </w:p>
    <w:p w:rsidR="00824327" w:rsidRDefault="00824327" w:rsidP="00824327">
      <w:pPr>
        <w:pStyle w:val="Kopfzeile"/>
        <w:tabs>
          <w:tab w:val="clear" w:pos="4536"/>
          <w:tab w:val="clear" w:pos="9072"/>
        </w:tabs>
        <w:jc w:val="both"/>
        <w:rPr>
          <w:rFonts w:cs="Arial"/>
          <w:color w:val="000000"/>
          <w:sz w:val="18"/>
          <w:szCs w:val="18"/>
        </w:rPr>
      </w:pPr>
    </w:p>
    <w:p w:rsidR="00824327" w:rsidRPr="006A3885" w:rsidRDefault="005042E1" w:rsidP="005042E1">
      <w:pPr>
        <w:snapToGrid w:val="0"/>
        <w:spacing w:line="300" w:lineRule="atLeast"/>
        <w:ind w:right="58"/>
        <w:jc w:val="both"/>
        <w:rPr>
          <w:rFonts w:cs="Arial"/>
        </w:rPr>
      </w:pPr>
      <w:r w:rsidRPr="005042E1">
        <w:rPr>
          <w:rFonts w:ascii="Calibri" w:eastAsia="Calibri" w:hAnsi="Calibri" w:cs="Calibri"/>
          <w:iCs/>
        </w:rPr>
        <w:t xml:space="preserve">Das </w:t>
      </w:r>
      <w:r w:rsidRPr="005042E1">
        <w:rPr>
          <w:rFonts w:cs="Arial"/>
        </w:rPr>
        <w:t>FLAMAX</w:t>
      </w:r>
      <w:r w:rsidRPr="005042E1">
        <w:rPr>
          <w:rFonts w:cstheme="minorHAnsi"/>
        </w:rPr>
        <w:t xml:space="preserve">™ Biologische </w:t>
      </w:r>
      <w:proofErr w:type="spellStart"/>
      <w:r w:rsidRPr="005042E1">
        <w:rPr>
          <w:rFonts w:cstheme="minorHAnsi"/>
        </w:rPr>
        <w:t>Lampenöl</w:t>
      </w:r>
      <w:proofErr w:type="spellEnd"/>
      <w:r w:rsidRPr="005042E1">
        <w:rPr>
          <w:rFonts w:cstheme="minorHAnsi"/>
        </w:rPr>
        <w:t xml:space="preserve"> aus der Produktserie </w:t>
      </w:r>
      <w:r w:rsidRPr="005042E1">
        <w:rPr>
          <w:rFonts w:cs="Arial"/>
        </w:rPr>
        <w:t>FLAMAX</w:t>
      </w:r>
      <w:r w:rsidRPr="005042E1">
        <w:rPr>
          <w:rFonts w:cstheme="minorHAnsi"/>
        </w:rPr>
        <w:t xml:space="preserve">™ Der Grüne-Weiße-Anzündhilfen ist ein geruchsneutrales Öl auf natürlicher Basis nachwachsender Rohstoffe. Es eignet sich aufgrund seiner Zusammensetzung ideal für den Einsatz von Öllampen im Wohnraum und schafft ein angenehmes Licht für gemütliche Stunden.  </w:t>
      </w:r>
      <w:r>
        <w:rPr>
          <w:rFonts w:cstheme="minorHAnsi"/>
        </w:rPr>
        <w:t xml:space="preserve">                        </w:t>
      </w:r>
      <w:r w:rsidR="00CA57E3">
        <w:rPr>
          <w:rFonts w:cs="Arial"/>
        </w:rPr>
        <w:t xml:space="preserve">                                                              </w:t>
      </w:r>
      <w:r w:rsidR="00466178">
        <w:rPr>
          <w:rFonts w:cs="Arial"/>
        </w:rPr>
        <w:t>(W</w:t>
      </w:r>
      <w:r w:rsidR="00824327" w:rsidRPr="00D31A50">
        <w:rPr>
          <w:rFonts w:cs="Arial"/>
        </w:rPr>
        <w:t>arrlich)</w:t>
      </w:r>
      <w:r w:rsidR="00824327" w:rsidRPr="006A3885">
        <w:rPr>
          <w:rFonts w:cs="Arial"/>
        </w:rPr>
        <w:t xml:space="preserve"> </w:t>
      </w:r>
    </w:p>
    <w:p w:rsidR="00824327" w:rsidRDefault="00824327" w:rsidP="00824327">
      <w:pPr>
        <w:pStyle w:val="Kopfzeile"/>
        <w:tabs>
          <w:tab w:val="clear" w:pos="4536"/>
          <w:tab w:val="clear" w:pos="9072"/>
        </w:tabs>
        <w:jc w:val="both"/>
        <w:rPr>
          <w:rFonts w:cs="Arial"/>
          <w:color w:val="000000"/>
          <w:sz w:val="18"/>
          <w:szCs w:val="18"/>
        </w:rPr>
      </w:pPr>
    </w:p>
    <w:p w:rsidR="007D2CCB" w:rsidRDefault="007D2CCB" w:rsidP="00824327">
      <w:pPr>
        <w:pStyle w:val="Kopfzeile"/>
        <w:tabs>
          <w:tab w:val="clear" w:pos="4536"/>
          <w:tab w:val="clear" w:pos="9072"/>
        </w:tabs>
        <w:jc w:val="both"/>
        <w:rPr>
          <w:rFonts w:cs="Arial"/>
          <w:color w:val="000000"/>
          <w:sz w:val="18"/>
          <w:szCs w:val="18"/>
        </w:rPr>
      </w:pPr>
      <w:r>
        <w:rPr>
          <w:rFonts w:cs="Arial"/>
          <w:noProof/>
          <w:lang w:eastAsia="de-DE"/>
        </w:rPr>
        <w:drawing>
          <wp:anchor distT="0" distB="0" distL="114300" distR="114300" simplePos="0" relativeHeight="251660288" behindDoc="0" locked="0" layoutInCell="1" allowOverlap="1">
            <wp:simplePos x="0" y="0"/>
            <wp:positionH relativeFrom="column">
              <wp:posOffset>3626632</wp:posOffset>
            </wp:positionH>
            <wp:positionV relativeFrom="paragraph">
              <wp:posOffset>8645</wp:posOffset>
            </wp:positionV>
            <wp:extent cx="580796" cy="585216"/>
            <wp:effectExtent l="19050" t="0" r="0" b="0"/>
            <wp:wrapNone/>
            <wp:docPr id="4" name="Bild 1" descr="C:\Daten\WARRLICH\Bilder\QR-Cod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Bilder\QR-Code_presse.jpg"/>
                    <pic:cNvPicPr>
                      <a:picLocks noChangeAspect="1" noChangeArrowheads="1"/>
                    </pic:cNvPicPr>
                  </pic:nvPicPr>
                  <pic:blipFill>
                    <a:blip r:embed="rId9" cstate="print"/>
                    <a:srcRect/>
                    <a:stretch>
                      <a:fillRect/>
                    </a:stretch>
                  </pic:blipFill>
                  <pic:spPr bwMode="auto">
                    <a:xfrm>
                      <a:off x="0" y="0"/>
                      <a:ext cx="580796" cy="585216"/>
                    </a:xfrm>
                    <a:prstGeom prst="rect">
                      <a:avLst/>
                    </a:prstGeom>
                    <a:noFill/>
                    <a:ln w="9525">
                      <a:noFill/>
                      <a:miter lim="800000"/>
                      <a:headEnd/>
                      <a:tailEnd/>
                    </a:ln>
                  </pic:spPr>
                </pic:pic>
              </a:graphicData>
            </a:graphic>
          </wp:anchor>
        </w:drawing>
      </w:r>
    </w:p>
    <w:p w:rsidR="00793345" w:rsidRDefault="00793345" w:rsidP="00793345">
      <w:pPr>
        <w:pStyle w:val="Kopfzeile"/>
        <w:tabs>
          <w:tab w:val="clear" w:pos="4536"/>
          <w:tab w:val="clear" w:pos="9072"/>
        </w:tabs>
        <w:snapToGrid w:val="0"/>
        <w:jc w:val="both"/>
        <w:rPr>
          <w:rFonts w:cs="Arial"/>
          <w:sz w:val="18"/>
          <w:szCs w:val="18"/>
        </w:rPr>
      </w:pPr>
      <w:r>
        <w:rPr>
          <w:rFonts w:cs="Arial"/>
          <w:sz w:val="18"/>
          <w:szCs w:val="18"/>
        </w:rPr>
        <w:t>Abdruck honorarfrei * Beleg erbeten</w:t>
      </w:r>
    </w:p>
    <w:p w:rsidR="00793345" w:rsidRDefault="00793345" w:rsidP="00793345">
      <w:pPr>
        <w:pStyle w:val="Kopfzeile"/>
        <w:tabs>
          <w:tab w:val="clear" w:pos="4536"/>
          <w:tab w:val="clear" w:pos="9072"/>
        </w:tabs>
        <w:snapToGrid w:val="0"/>
        <w:jc w:val="both"/>
        <w:rPr>
          <w:rFonts w:cs="Arial"/>
          <w:sz w:val="18"/>
          <w:szCs w:val="18"/>
        </w:rPr>
      </w:pPr>
    </w:p>
    <w:p w:rsidR="00793345" w:rsidRDefault="00793345" w:rsidP="00793345">
      <w:pPr>
        <w:pStyle w:val="Kopfzeile"/>
        <w:tabs>
          <w:tab w:val="clear" w:pos="4536"/>
          <w:tab w:val="clear" w:pos="9072"/>
        </w:tabs>
        <w:snapToGrid w:val="0"/>
        <w:jc w:val="both"/>
        <w:rPr>
          <w:rFonts w:cs="Arial"/>
          <w:b/>
          <w:sz w:val="18"/>
          <w:szCs w:val="18"/>
        </w:rPr>
      </w:pPr>
      <w:r w:rsidRPr="00771C80">
        <w:rPr>
          <w:rFonts w:cs="Arial"/>
          <w:b/>
          <w:sz w:val="18"/>
          <w:szCs w:val="18"/>
        </w:rPr>
        <w:t xml:space="preserve">Text und Bild auch unter </w:t>
      </w:r>
      <w:hyperlink r:id="rId10" w:history="1">
        <w:r w:rsidR="002F6961" w:rsidRPr="00807D6A">
          <w:rPr>
            <w:rStyle w:val="Hyperlink"/>
            <w:rFonts w:cs="Arial"/>
            <w:b/>
            <w:sz w:val="18"/>
            <w:szCs w:val="18"/>
          </w:rPr>
          <w:t>http://www.warrlich.eu/presse</w:t>
        </w:r>
      </w:hyperlink>
      <w:r w:rsidR="002F6961">
        <w:rPr>
          <w:rFonts w:cs="Arial"/>
          <w:b/>
          <w:sz w:val="18"/>
          <w:szCs w:val="18"/>
        </w:rPr>
        <w:t xml:space="preserve">  </w:t>
      </w: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DE0BE8" w:rsidP="00793345">
      <w:pPr>
        <w:pStyle w:val="Kopfzeile"/>
        <w:tabs>
          <w:tab w:val="clear" w:pos="4536"/>
          <w:tab w:val="clear" w:pos="9072"/>
        </w:tabs>
        <w:snapToGrid w:val="0"/>
        <w:jc w:val="both"/>
        <w:rPr>
          <w:rFonts w:cs="Arial"/>
          <w:b/>
          <w:sz w:val="18"/>
          <w:szCs w:val="18"/>
        </w:rPr>
      </w:pPr>
      <w:r>
        <w:rPr>
          <w:noProof/>
        </w:rPr>
        <w:lastRenderedPageBreak/>
        <w:drawing>
          <wp:anchor distT="0" distB="0" distL="114300" distR="114300" simplePos="0" relativeHeight="251663360" behindDoc="0" locked="0" layoutInCell="1" allowOverlap="1">
            <wp:simplePos x="0" y="0"/>
            <wp:positionH relativeFrom="column">
              <wp:posOffset>43327</wp:posOffset>
            </wp:positionH>
            <wp:positionV relativeFrom="paragraph">
              <wp:posOffset>-2638</wp:posOffset>
            </wp:positionV>
            <wp:extent cx="1947775" cy="572086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775" cy="57208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bookmarkStart w:id="0" w:name="_GoBack"/>
      <w:bookmarkEnd w:id="0"/>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793345">
      <w:pPr>
        <w:pStyle w:val="Kopfzeile"/>
        <w:tabs>
          <w:tab w:val="clear" w:pos="4536"/>
          <w:tab w:val="clear" w:pos="9072"/>
        </w:tabs>
        <w:snapToGrid w:val="0"/>
        <w:jc w:val="both"/>
        <w:rPr>
          <w:rFonts w:cs="Arial"/>
          <w:b/>
          <w:sz w:val="18"/>
          <w:szCs w:val="18"/>
        </w:rPr>
      </w:pPr>
    </w:p>
    <w:p w:rsidR="005042E1" w:rsidRDefault="005042E1" w:rsidP="005042E1">
      <w:pPr>
        <w:pStyle w:val="Kopfzeile"/>
        <w:tabs>
          <w:tab w:val="clear" w:pos="4536"/>
          <w:tab w:val="clear" w:pos="9072"/>
        </w:tabs>
        <w:jc w:val="both"/>
        <w:rPr>
          <w:rFonts w:cs="Arial"/>
          <w:color w:val="000000"/>
          <w:sz w:val="18"/>
          <w:szCs w:val="18"/>
        </w:rPr>
      </w:pPr>
    </w:p>
    <w:p w:rsidR="005042E1" w:rsidRDefault="005042E1" w:rsidP="005042E1">
      <w:pPr>
        <w:pStyle w:val="Kopfzeile"/>
        <w:tabs>
          <w:tab w:val="clear" w:pos="4536"/>
          <w:tab w:val="clear" w:pos="9072"/>
        </w:tabs>
        <w:jc w:val="both"/>
        <w:rPr>
          <w:rFonts w:cs="Arial"/>
          <w:color w:val="000000"/>
          <w:sz w:val="18"/>
          <w:szCs w:val="18"/>
        </w:rPr>
      </w:pPr>
    </w:p>
    <w:p w:rsidR="005042E1" w:rsidRDefault="005042E1" w:rsidP="005042E1">
      <w:pPr>
        <w:pStyle w:val="Kopfzeile"/>
        <w:tabs>
          <w:tab w:val="clear" w:pos="4536"/>
          <w:tab w:val="clear" w:pos="9072"/>
        </w:tabs>
        <w:jc w:val="both"/>
        <w:rPr>
          <w:rFonts w:cs="Arial"/>
          <w:color w:val="000000"/>
          <w:sz w:val="18"/>
          <w:szCs w:val="18"/>
        </w:rPr>
      </w:pPr>
    </w:p>
    <w:p w:rsidR="00DE0BE8" w:rsidRDefault="00DE0BE8" w:rsidP="005042E1">
      <w:pPr>
        <w:pStyle w:val="Kopfzeile"/>
        <w:tabs>
          <w:tab w:val="clear" w:pos="4536"/>
          <w:tab w:val="clear" w:pos="9072"/>
        </w:tabs>
        <w:jc w:val="both"/>
        <w:rPr>
          <w:rFonts w:cs="Arial"/>
          <w:color w:val="000000"/>
          <w:sz w:val="18"/>
          <w:szCs w:val="18"/>
        </w:rPr>
      </w:pPr>
    </w:p>
    <w:p w:rsidR="00DE0BE8" w:rsidRDefault="00DE0BE8" w:rsidP="005042E1">
      <w:pPr>
        <w:pStyle w:val="Kopfzeile"/>
        <w:tabs>
          <w:tab w:val="clear" w:pos="4536"/>
          <w:tab w:val="clear" w:pos="9072"/>
        </w:tabs>
        <w:jc w:val="both"/>
        <w:rPr>
          <w:rFonts w:cs="Arial"/>
          <w:color w:val="000000"/>
          <w:sz w:val="18"/>
          <w:szCs w:val="18"/>
        </w:rPr>
      </w:pPr>
    </w:p>
    <w:p w:rsidR="00DE0BE8" w:rsidRDefault="00DE0BE8" w:rsidP="005042E1">
      <w:pPr>
        <w:pStyle w:val="Kopfzeile"/>
        <w:tabs>
          <w:tab w:val="clear" w:pos="4536"/>
          <w:tab w:val="clear" w:pos="9072"/>
        </w:tabs>
        <w:jc w:val="both"/>
        <w:rPr>
          <w:rFonts w:cs="Arial"/>
          <w:color w:val="000000"/>
          <w:sz w:val="18"/>
          <w:szCs w:val="18"/>
        </w:rPr>
      </w:pPr>
    </w:p>
    <w:p w:rsidR="00DE0BE8" w:rsidRDefault="00DE0BE8" w:rsidP="005042E1">
      <w:pPr>
        <w:pStyle w:val="Kopfzeile"/>
        <w:tabs>
          <w:tab w:val="clear" w:pos="4536"/>
          <w:tab w:val="clear" w:pos="9072"/>
        </w:tabs>
        <w:jc w:val="both"/>
        <w:rPr>
          <w:rFonts w:cs="Arial"/>
          <w:color w:val="000000"/>
          <w:sz w:val="18"/>
          <w:szCs w:val="18"/>
        </w:rPr>
      </w:pPr>
    </w:p>
    <w:p w:rsidR="00DE0BE8" w:rsidRDefault="00DE0BE8" w:rsidP="005042E1">
      <w:pPr>
        <w:pStyle w:val="Kopfzeile"/>
        <w:tabs>
          <w:tab w:val="clear" w:pos="4536"/>
          <w:tab w:val="clear" w:pos="9072"/>
        </w:tabs>
        <w:jc w:val="both"/>
        <w:rPr>
          <w:rFonts w:cs="Arial"/>
          <w:color w:val="000000"/>
          <w:sz w:val="18"/>
          <w:szCs w:val="18"/>
        </w:rPr>
      </w:pPr>
    </w:p>
    <w:p w:rsidR="00DE0BE8" w:rsidRDefault="00DE0BE8" w:rsidP="005042E1">
      <w:pPr>
        <w:pStyle w:val="Kopfzeile"/>
        <w:tabs>
          <w:tab w:val="clear" w:pos="4536"/>
          <w:tab w:val="clear" w:pos="9072"/>
        </w:tabs>
        <w:jc w:val="both"/>
        <w:rPr>
          <w:rFonts w:cs="Arial"/>
          <w:color w:val="000000"/>
          <w:sz w:val="18"/>
          <w:szCs w:val="18"/>
        </w:rPr>
      </w:pPr>
    </w:p>
    <w:p w:rsidR="00DE0BE8" w:rsidRDefault="00DE0BE8" w:rsidP="005042E1">
      <w:pPr>
        <w:pStyle w:val="Kopfzeile"/>
        <w:tabs>
          <w:tab w:val="clear" w:pos="4536"/>
          <w:tab w:val="clear" w:pos="9072"/>
        </w:tabs>
        <w:jc w:val="both"/>
        <w:rPr>
          <w:rFonts w:cs="Arial"/>
          <w:color w:val="000000"/>
          <w:sz w:val="18"/>
          <w:szCs w:val="18"/>
        </w:rPr>
      </w:pPr>
    </w:p>
    <w:p w:rsidR="00DE0BE8" w:rsidRDefault="00DE0BE8" w:rsidP="005042E1">
      <w:pPr>
        <w:pStyle w:val="Kopfzeile"/>
        <w:tabs>
          <w:tab w:val="clear" w:pos="4536"/>
          <w:tab w:val="clear" w:pos="9072"/>
        </w:tabs>
        <w:jc w:val="both"/>
        <w:rPr>
          <w:rFonts w:cs="Arial"/>
          <w:color w:val="000000"/>
          <w:sz w:val="18"/>
          <w:szCs w:val="18"/>
        </w:rPr>
      </w:pPr>
    </w:p>
    <w:p w:rsidR="00DE0BE8" w:rsidRDefault="00DE0BE8" w:rsidP="005042E1">
      <w:pPr>
        <w:pStyle w:val="Kopfzeile"/>
        <w:tabs>
          <w:tab w:val="clear" w:pos="4536"/>
          <w:tab w:val="clear" w:pos="9072"/>
        </w:tabs>
        <w:jc w:val="both"/>
        <w:rPr>
          <w:rFonts w:cs="Arial"/>
          <w:color w:val="000000"/>
          <w:sz w:val="18"/>
          <w:szCs w:val="18"/>
        </w:rPr>
      </w:pPr>
    </w:p>
    <w:p w:rsidR="00DE0BE8" w:rsidRDefault="00DE0BE8" w:rsidP="005042E1">
      <w:pPr>
        <w:pStyle w:val="Kopfzeile"/>
        <w:tabs>
          <w:tab w:val="clear" w:pos="4536"/>
          <w:tab w:val="clear" w:pos="9072"/>
        </w:tabs>
        <w:jc w:val="both"/>
        <w:rPr>
          <w:rFonts w:cs="Arial"/>
          <w:color w:val="000000"/>
          <w:sz w:val="18"/>
          <w:szCs w:val="18"/>
        </w:rPr>
      </w:pPr>
    </w:p>
    <w:p w:rsidR="005042E1" w:rsidRDefault="005042E1" w:rsidP="005042E1">
      <w:pPr>
        <w:pStyle w:val="Kopfzeile"/>
        <w:tabs>
          <w:tab w:val="clear" w:pos="4536"/>
          <w:tab w:val="clear" w:pos="9072"/>
        </w:tabs>
        <w:jc w:val="both"/>
        <w:rPr>
          <w:rFonts w:cs="Arial"/>
          <w:color w:val="000000"/>
          <w:sz w:val="18"/>
          <w:szCs w:val="18"/>
        </w:rPr>
      </w:pPr>
    </w:p>
    <w:p w:rsidR="005042E1" w:rsidRDefault="005042E1" w:rsidP="005042E1">
      <w:pPr>
        <w:pStyle w:val="Kopfzeile"/>
        <w:tabs>
          <w:tab w:val="clear" w:pos="4536"/>
          <w:tab w:val="clear" w:pos="9072"/>
        </w:tabs>
        <w:jc w:val="both"/>
        <w:rPr>
          <w:rFonts w:cs="Arial"/>
          <w:color w:val="000000"/>
          <w:sz w:val="18"/>
          <w:szCs w:val="18"/>
        </w:rPr>
      </w:pPr>
      <w:r>
        <w:rPr>
          <w:rFonts w:cs="Arial"/>
          <w:color w:val="000000"/>
          <w:sz w:val="18"/>
          <w:szCs w:val="18"/>
        </w:rPr>
        <w:t>Foto: Warrlich/2017</w:t>
      </w:r>
    </w:p>
    <w:p w:rsidR="005042E1" w:rsidRDefault="005042E1" w:rsidP="005042E1">
      <w:pPr>
        <w:pStyle w:val="Kopfzeile"/>
        <w:tabs>
          <w:tab w:val="clear" w:pos="4536"/>
          <w:tab w:val="clear" w:pos="9072"/>
        </w:tabs>
        <w:jc w:val="both"/>
        <w:rPr>
          <w:rFonts w:cs="Arial"/>
          <w:color w:val="000000"/>
          <w:sz w:val="18"/>
          <w:szCs w:val="18"/>
        </w:rPr>
      </w:pPr>
    </w:p>
    <w:p w:rsidR="005042E1" w:rsidRPr="006A3885" w:rsidRDefault="005042E1" w:rsidP="005042E1">
      <w:pPr>
        <w:snapToGrid w:val="0"/>
        <w:spacing w:line="300" w:lineRule="atLeast"/>
        <w:ind w:right="58"/>
        <w:jc w:val="both"/>
        <w:rPr>
          <w:rFonts w:cs="Arial"/>
        </w:rPr>
      </w:pPr>
      <w:r w:rsidRPr="005042E1">
        <w:rPr>
          <w:rFonts w:ascii="Calibri" w:eastAsia="Calibri" w:hAnsi="Calibri" w:cs="Calibri"/>
          <w:iCs/>
        </w:rPr>
        <w:t xml:space="preserve">Das </w:t>
      </w:r>
      <w:r w:rsidRPr="005042E1">
        <w:rPr>
          <w:rFonts w:cs="Arial"/>
        </w:rPr>
        <w:t>FLAMAX</w:t>
      </w:r>
      <w:r w:rsidRPr="005042E1">
        <w:rPr>
          <w:rFonts w:cstheme="minorHAnsi"/>
        </w:rPr>
        <w:t xml:space="preserve">™ Biologische </w:t>
      </w:r>
      <w:proofErr w:type="spellStart"/>
      <w:r w:rsidRPr="005042E1">
        <w:rPr>
          <w:rFonts w:cstheme="minorHAnsi"/>
        </w:rPr>
        <w:t>Lampenöl</w:t>
      </w:r>
      <w:proofErr w:type="spellEnd"/>
      <w:r w:rsidRPr="005042E1">
        <w:rPr>
          <w:rFonts w:cstheme="minorHAnsi"/>
        </w:rPr>
        <w:t xml:space="preserve"> aus der Produktserie </w:t>
      </w:r>
      <w:r w:rsidRPr="005042E1">
        <w:rPr>
          <w:rFonts w:cs="Arial"/>
        </w:rPr>
        <w:t>FLAMAX</w:t>
      </w:r>
      <w:r w:rsidRPr="005042E1">
        <w:rPr>
          <w:rFonts w:cstheme="minorHAnsi"/>
        </w:rPr>
        <w:t xml:space="preserve">™ Der Grüne-Weiße-Anzündhilfen </w:t>
      </w:r>
      <w:r>
        <w:rPr>
          <w:rFonts w:cstheme="minorHAnsi"/>
        </w:rPr>
        <w:t xml:space="preserve">ist eine natürliche Alternative zu herkömmlichen Lampenölen. In den Handel kommt es in der 800 ml-Flasche.                                                                                        </w:t>
      </w:r>
      <w:r>
        <w:rPr>
          <w:rFonts w:cs="Arial"/>
        </w:rPr>
        <w:t xml:space="preserve">                                                              (W</w:t>
      </w:r>
      <w:r w:rsidRPr="00D31A50">
        <w:rPr>
          <w:rFonts w:cs="Arial"/>
        </w:rPr>
        <w:t>arrlich)</w:t>
      </w:r>
      <w:r w:rsidRPr="006A3885">
        <w:rPr>
          <w:rFonts w:cs="Arial"/>
        </w:rPr>
        <w:t xml:space="preserve"> </w:t>
      </w:r>
    </w:p>
    <w:p w:rsidR="005042E1" w:rsidRDefault="005042E1" w:rsidP="005042E1">
      <w:pPr>
        <w:pStyle w:val="Kopfzeile"/>
        <w:tabs>
          <w:tab w:val="clear" w:pos="4536"/>
          <w:tab w:val="clear" w:pos="9072"/>
        </w:tabs>
        <w:jc w:val="both"/>
        <w:rPr>
          <w:rFonts w:cs="Arial"/>
          <w:color w:val="000000"/>
          <w:sz w:val="18"/>
          <w:szCs w:val="18"/>
        </w:rPr>
      </w:pPr>
    </w:p>
    <w:p w:rsidR="005042E1" w:rsidRDefault="005042E1" w:rsidP="005042E1">
      <w:pPr>
        <w:pStyle w:val="Kopfzeile"/>
        <w:tabs>
          <w:tab w:val="clear" w:pos="4536"/>
          <w:tab w:val="clear" w:pos="9072"/>
        </w:tabs>
        <w:jc w:val="both"/>
        <w:rPr>
          <w:rFonts w:cs="Arial"/>
          <w:color w:val="000000"/>
          <w:sz w:val="18"/>
          <w:szCs w:val="18"/>
        </w:rPr>
      </w:pPr>
      <w:r>
        <w:rPr>
          <w:rFonts w:cs="Arial"/>
          <w:noProof/>
          <w:lang w:eastAsia="de-DE"/>
        </w:rPr>
        <w:drawing>
          <wp:anchor distT="0" distB="0" distL="114300" distR="114300" simplePos="0" relativeHeight="251662336" behindDoc="0" locked="0" layoutInCell="1" allowOverlap="1" wp14:anchorId="0CAF1BB5" wp14:editId="34C6B69C">
            <wp:simplePos x="0" y="0"/>
            <wp:positionH relativeFrom="column">
              <wp:posOffset>3626632</wp:posOffset>
            </wp:positionH>
            <wp:positionV relativeFrom="paragraph">
              <wp:posOffset>8645</wp:posOffset>
            </wp:positionV>
            <wp:extent cx="580796" cy="585216"/>
            <wp:effectExtent l="19050" t="0" r="0" b="0"/>
            <wp:wrapNone/>
            <wp:docPr id="5" name="Bild 1" descr="C:\Daten\WARRLICH\Bilder\QR-Cod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Bilder\QR-Code_presse.jpg"/>
                    <pic:cNvPicPr>
                      <a:picLocks noChangeAspect="1" noChangeArrowheads="1"/>
                    </pic:cNvPicPr>
                  </pic:nvPicPr>
                  <pic:blipFill>
                    <a:blip r:embed="rId9" cstate="print"/>
                    <a:srcRect/>
                    <a:stretch>
                      <a:fillRect/>
                    </a:stretch>
                  </pic:blipFill>
                  <pic:spPr bwMode="auto">
                    <a:xfrm>
                      <a:off x="0" y="0"/>
                      <a:ext cx="580796" cy="585216"/>
                    </a:xfrm>
                    <a:prstGeom prst="rect">
                      <a:avLst/>
                    </a:prstGeom>
                    <a:noFill/>
                    <a:ln w="9525">
                      <a:noFill/>
                      <a:miter lim="800000"/>
                      <a:headEnd/>
                      <a:tailEnd/>
                    </a:ln>
                  </pic:spPr>
                </pic:pic>
              </a:graphicData>
            </a:graphic>
          </wp:anchor>
        </w:drawing>
      </w:r>
    </w:p>
    <w:p w:rsidR="005042E1" w:rsidRDefault="005042E1" w:rsidP="005042E1">
      <w:pPr>
        <w:pStyle w:val="Kopfzeile"/>
        <w:tabs>
          <w:tab w:val="clear" w:pos="4536"/>
          <w:tab w:val="clear" w:pos="9072"/>
        </w:tabs>
        <w:snapToGrid w:val="0"/>
        <w:jc w:val="both"/>
        <w:rPr>
          <w:rFonts w:cs="Arial"/>
          <w:sz w:val="18"/>
          <w:szCs w:val="18"/>
        </w:rPr>
      </w:pPr>
      <w:r>
        <w:rPr>
          <w:rFonts w:cs="Arial"/>
          <w:sz w:val="18"/>
          <w:szCs w:val="18"/>
        </w:rPr>
        <w:t>Abdruck honorarfrei * Beleg erbeten</w:t>
      </w:r>
    </w:p>
    <w:p w:rsidR="005042E1" w:rsidRDefault="005042E1" w:rsidP="005042E1">
      <w:pPr>
        <w:pStyle w:val="Kopfzeile"/>
        <w:tabs>
          <w:tab w:val="clear" w:pos="4536"/>
          <w:tab w:val="clear" w:pos="9072"/>
        </w:tabs>
        <w:snapToGrid w:val="0"/>
        <w:jc w:val="both"/>
        <w:rPr>
          <w:rFonts w:cs="Arial"/>
          <w:sz w:val="18"/>
          <w:szCs w:val="18"/>
        </w:rPr>
      </w:pPr>
    </w:p>
    <w:p w:rsidR="005042E1" w:rsidRPr="00771C80" w:rsidRDefault="005042E1" w:rsidP="005042E1">
      <w:pPr>
        <w:pStyle w:val="Kopfzeile"/>
        <w:tabs>
          <w:tab w:val="clear" w:pos="4536"/>
          <w:tab w:val="clear" w:pos="9072"/>
        </w:tabs>
        <w:snapToGrid w:val="0"/>
        <w:jc w:val="both"/>
        <w:rPr>
          <w:rFonts w:cs="Arial"/>
          <w:b/>
          <w:color w:val="000000"/>
          <w:sz w:val="18"/>
          <w:szCs w:val="18"/>
        </w:rPr>
      </w:pPr>
      <w:r w:rsidRPr="00771C80">
        <w:rPr>
          <w:rFonts w:cs="Arial"/>
          <w:b/>
          <w:sz w:val="18"/>
          <w:szCs w:val="18"/>
        </w:rPr>
        <w:t xml:space="preserve">Text und Bild auch unter </w:t>
      </w:r>
      <w:hyperlink r:id="rId12" w:history="1">
        <w:r w:rsidRPr="00807D6A">
          <w:rPr>
            <w:rStyle w:val="Hyperlink"/>
            <w:rFonts w:cs="Arial"/>
            <w:b/>
            <w:sz w:val="18"/>
            <w:szCs w:val="18"/>
          </w:rPr>
          <w:t>http://www.warrlich.eu/presse</w:t>
        </w:r>
      </w:hyperlink>
      <w:r>
        <w:rPr>
          <w:rFonts w:cs="Arial"/>
          <w:b/>
          <w:sz w:val="18"/>
          <w:szCs w:val="18"/>
        </w:rPr>
        <w:t xml:space="preserve">  </w:t>
      </w:r>
    </w:p>
    <w:p w:rsidR="005042E1" w:rsidRPr="00771C80" w:rsidRDefault="005042E1" w:rsidP="00793345">
      <w:pPr>
        <w:pStyle w:val="Kopfzeile"/>
        <w:tabs>
          <w:tab w:val="clear" w:pos="4536"/>
          <w:tab w:val="clear" w:pos="9072"/>
        </w:tabs>
        <w:snapToGrid w:val="0"/>
        <w:jc w:val="both"/>
        <w:rPr>
          <w:rFonts w:cs="Arial"/>
          <w:b/>
          <w:color w:val="000000"/>
          <w:sz w:val="18"/>
          <w:szCs w:val="18"/>
        </w:rPr>
      </w:pPr>
    </w:p>
    <w:sectPr w:rsidR="005042E1" w:rsidRPr="00771C80" w:rsidSect="0035334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BC5" w:rsidRDefault="00A06BC5" w:rsidP="00E72E5C">
      <w:pPr>
        <w:spacing w:after="0" w:line="240" w:lineRule="auto"/>
      </w:pPr>
      <w:r>
        <w:separator/>
      </w:r>
    </w:p>
  </w:endnote>
  <w:endnote w:type="continuationSeparator" w:id="0">
    <w:p w:rsidR="00A06BC5" w:rsidRDefault="00A06BC5"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r>
      <w:rPr>
        <w:sz w:val="18"/>
        <w:szCs w:val="18"/>
      </w:rPr>
      <w:t>Falkener Landstraße 9, 99830 Treffurt</w:t>
    </w:r>
  </w:p>
  <w:p w:rsidR="00DD1E3B" w:rsidRDefault="00DD1E3B" w:rsidP="00E72E5C">
    <w:pPr>
      <w:pStyle w:val="Fuzeile"/>
      <w:jc w:val="center"/>
      <w:rPr>
        <w:sz w:val="18"/>
        <w:szCs w:val="18"/>
      </w:rPr>
    </w:pPr>
    <w:r>
      <w:rPr>
        <w:sz w:val="18"/>
        <w:szCs w:val="18"/>
      </w:rPr>
      <w:t>Telefon +49 (0) 3 69 23/529-0</w:t>
    </w:r>
  </w:p>
  <w:p w:rsidR="00DD1E3B" w:rsidRPr="000D220E" w:rsidRDefault="00DD1E3B" w:rsidP="00E72E5C">
    <w:pPr>
      <w:pStyle w:val="Fuzeile"/>
      <w:jc w:val="center"/>
      <w:rPr>
        <w:sz w:val="18"/>
        <w:szCs w:val="18"/>
      </w:rPr>
    </w:pPr>
    <w:r>
      <w:rPr>
        <w:sz w:val="18"/>
        <w:szCs w:val="18"/>
      </w:rPr>
      <w:t>E-Mail: carl@warrlich.de</w:t>
    </w:r>
  </w:p>
  <w:p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BC5" w:rsidRDefault="00A06BC5" w:rsidP="00E72E5C">
      <w:pPr>
        <w:spacing w:after="0" w:line="240" w:lineRule="auto"/>
      </w:pPr>
      <w:r>
        <w:separator/>
      </w:r>
    </w:p>
  </w:footnote>
  <w:footnote w:type="continuationSeparator" w:id="0">
    <w:p w:rsidR="00A06BC5" w:rsidRDefault="00A06BC5"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AE"/>
    <w:rsid w:val="000000CA"/>
    <w:rsid w:val="00005328"/>
    <w:rsid w:val="00007FD2"/>
    <w:rsid w:val="00030304"/>
    <w:rsid w:val="000368F9"/>
    <w:rsid w:val="000434CD"/>
    <w:rsid w:val="00054AE5"/>
    <w:rsid w:val="000571D0"/>
    <w:rsid w:val="00060239"/>
    <w:rsid w:val="00061461"/>
    <w:rsid w:val="000762AE"/>
    <w:rsid w:val="00083CE7"/>
    <w:rsid w:val="0009026C"/>
    <w:rsid w:val="00091992"/>
    <w:rsid w:val="000A1FFF"/>
    <w:rsid w:val="000A4499"/>
    <w:rsid w:val="000C5521"/>
    <w:rsid w:val="000D220E"/>
    <w:rsid w:val="000D47B9"/>
    <w:rsid w:val="000F4AED"/>
    <w:rsid w:val="0013084D"/>
    <w:rsid w:val="00146AB0"/>
    <w:rsid w:val="00146E14"/>
    <w:rsid w:val="0015689D"/>
    <w:rsid w:val="001577D5"/>
    <w:rsid w:val="00182349"/>
    <w:rsid w:val="00182BD1"/>
    <w:rsid w:val="001C1D84"/>
    <w:rsid w:val="001F5A0A"/>
    <w:rsid w:val="00203204"/>
    <w:rsid w:val="00205A8A"/>
    <w:rsid w:val="00207CB0"/>
    <w:rsid w:val="00231B90"/>
    <w:rsid w:val="00234C56"/>
    <w:rsid w:val="0024159F"/>
    <w:rsid w:val="002441F9"/>
    <w:rsid w:val="002D15BE"/>
    <w:rsid w:val="002F15FC"/>
    <w:rsid w:val="002F6961"/>
    <w:rsid w:val="002F7057"/>
    <w:rsid w:val="00304CDA"/>
    <w:rsid w:val="00305369"/>
    <w:rsid w:val="003211A9"/>
    <w:rsid w:val="0033272D"/>
    <w:rsid w:val="00334656"/>
    <w:rsid w:val="003410C2"/>
    <w:rsid w:val="0035334C"/>
    <w:rsid w:val="00364651"/>
    <w:rsid w:val="0037304E"/>
    <w:rsid w:val="00387C9F"/>
    <w:rsid w:val="0039109A"/>
    <w:rsid w:val="0039675C"/>
    <w:rsid w:val="003979BA"/>
    <w:rsid w:val="003B12C0"/>
    <w:rsid w:val="003F30CD"/>
    <w:rsid w:val="003F589E"/>
    <w:rsid w:val="003F69BB"/>
    <w:rsid w:val="0040475F"/>
    <w:rsid w:val="00406801"/>
    <w:rsid w:val="00420481"/>
    <w:rsid w:val="0042405B"/>
    <w:rsid w:val="00424A1A"/>
    <w:rsid w:val="00431ADE"/>
    <w:rsid w:val="004338EF"/>
    <w:rsid w:val="004540E5"/>
    <w:rsid w:val="004569B9"/>
    <w:rsid w:val="00462491"/>
    <w:rsid w:val="0046454E"/>
    <w:rsid w:val="0046468B"/>
    <w:rsid w:val="00466178"/>
    <w:rsid w:val="004B32B8"/>
    <w:rsid w:val="004C73C9"/>
    <w:rsid w:val="004E3659"/>
    <w:rsid w:val="004E513F"/>
    <w:rsid w:val="004F37A9"/>
    <w:rsid w:val="004F7F5A"/>
    <w:rsid w:val="005042E1"/>
    <w:rsid w:val="0052593A"/>
    <w:rsid w:val="0053350C"/>
    <w:rsid w:val="0055088E"/>
    <w:rsid w:val="00554B13"/>
    <w:rsid w:val="005607EE"/>
    <w:rsid w:val="00564CA8"/>
    <w:rsid w:val="00574C3E"/>
    <w:rsid w:val="005921F6"/>
    <w:rsid w:val="005B77B7"/>
    <w:rsid w:val="005F023B"/>
    <w:rsid w:val="005F157A"/>
    <w:rsid w:val="005F6C4C"/>
    <w:rsid w:val="006042D8"/>
    <w:rsid w:val="00611E56"/>
    <w:rsid w:val="00614733"/>
    <w:rsid w:val="006206F6"/>
    <w:rsid w:val="00632910"/>
    <w:rsid w:val="00650AD0"/>
    <w:rsid w:val="00680447"/>
    <w:rsid w:val="00685DCD"/>
    <w:rsid w:val="00691CF3"/>
    <w:rsid w:val="00692C67"/>
    <w:rsid w:val="006938BE"/>
    <w:rsid w:val="00697B34"/>
    <w:rsid w:val="006A079F"/>
    <w:rsid w:val="006A3885"/>
    <w:rsid w:val="006A6230"/>
    <w:rsid w:val="006B7EDC"/>
    <w:rsid w:val="006D149A"/>
    <w:rsid w:val="006D44C1"/>
    <w:rsid w:val="006F2373"/>
    <w:rsid w:val="00710160"/>
    <w:rsid w:val="00710D37"/>
    <w:rsid w:val="007111CF"/>
    <w:rsid w:val="0071457B"/>
    <w:rsid w:val="00730E25"/>
    <w:rsid w:val="00762931"/>
    <w:rsid w:val="00771C80"/>
    <w:rsid w:val="00776067"/>
    <w:rsid w:val="00792237"/>
    <w:rsid w:val="00793345"/>
    <w:rsid w:val="00794315"/>
    <w:rsid w:val="007A0401"/>
    <w:rsid w:val="007A0F3C"/>
    <w:rsid w:val="007B0834"/>
    <w:rsid w:val="007D2CCB"/>
    <w:rsid w:val="007D6542"/>
    <w:rsid w:val="00820491"/>
    <w:rsid w:val="00824327"/>
    <w:rsid w:val="00831E6E"/>
    <w:rsid w:val="00834E8B"/>
    <w:rsid w:val="00835F63"/>
    <w:rsid w:val="00847178"/>
    <w:rsid w:val="00854BAC"/>
    <w:rsid w:val="00877E7E"/>
    <w:rsid w:val="00881356"/>
    <w:rsid w:val="008A0920"/>
    <w:rsid w:val="008A33CD"/>
    <w:rsid w:val="008A4A14"/>
    <w:rsid w:val="008D2F13"/>
    <w:rsid w:val="008D658F"/>
    <w:rsid w:val="008F1DE4"/>
    <w:rsid w:val="00904663"/>
    <w:rsid w:val="00927934"/>
    <w:rsid w:val="00956261"/>
    <w:rsid w:val="00964082"/>
    <w:rsid w:val="0099040A"/>
    <w:rsid w:val="00997400"/>
    <w:rsid w:val="009A055F"/>
    <w:rsid w:val="009A4F85"/>
    <w:rsid w:val="009B3A46"/>
    <w:rsid w:val="009C4E29"/>
    <w:rsid w:val="009E1869"/>
    <w:rsid w:val="009E2C90"/>
    <w:rsid w:val="00A06BC5"/>
    <w:rsid w:val="00A108C5"/>
    <w:rsid w:val="00A16DA0"/>
    <w:rsid w:val="00A52ED9"/>
    <w:rsid w:val="00A84898"/>
    <w:rsid w:val="00AA3DAC"/>
    <w:rsid w:val="00AA7BC2"/>
    <w:rsid w:val="00AB19AE"/>
    <w:rsid w:val="00AB1AFA"/>
    <w:rsid w:val="00AB40CF"/>
    <w:rsid w:val="00AC5823"/>
    <w:rsid w:val="00AE452F"/>
    <w:rsid w:val="00AF1F76"/>
    <w:rsid w:val="00B17C90"/>
    <w:rsid w:val="00B213DA"/>
    <w:rsid w:val="00B33151"/>
    <w:rsid w:val="00B43144"/>
    <w:rsid w:val="00B4371E"/>
    <w:rsid w:val="00B45C48"/>
    <w:rsid w:val="00B659ED"/>
    <w:rsid w:val="00B838C2"/>
    <w:rsid w:val="00BA3569"/>
    <w:rsid w:val="00BB1711"/>
    <w:rsid w:val="00BB584F"/>
    <w:rsid w:val="00BB76A4"/>
    <w:rsid w:val="00BC1CBE"/>
    <w:rsid w:val="00BE0FC6"/>
    <w:rsid w:val="00BE7C20"/>
    <w:rsid w:val="00BE7CA2"/>
    <w:rsid w:val="00BF1CA5"/>
    <w:rsid w:val="00BF35EF"/>
    <w:rsid w:val="00BF6023"/>
    <w:rsid w:val="00C02536"/>
    <w:rsid w:val="00C10DD4"/>
    <w:rsid w:val="00C1684E"/>
    <w:rsid w:val="00C80BA9"/>
    <w:rsid w:val="00CA1282"/>
    <w:rsid w:val="00CA3D27"/>
    <w:rsid w:val="00CA57E3"/>
    <w:rsid w:val="00CA6556"/>
    <w:rsid w:val="00CC4E2E"/>
    <w:rsid w:val="00CD5A1A"/>
    <w:rsid w:val="00CD5BD0"/>
    <w:rsid w:val="00D03271"/>
    <w:rsid w:val="00D12F84"/>
    <w:rsid w:val="00D174A6"/>
    <w:rsid w:val="00D31A50"/>
    <w:rsid w:val="00D44217"/>
    <w:rsid w:val="00D8618F"/>
    <w:rsid w:val="00D96BB1"/>
    <w:rsid w:val="00DD1E3B"/>
    <w:rsid w:val="00DD32F5"/>
    <w:rsid w:val="00DD3EC0"/>
    <w:rsid w:val="00DD421C"/>
    <w:rsid w:val="00DD5CBC"/>
    <w:rsid w:val="00DE0BE8"/>
    <w:rsid w:val="00E4004E"/>
    <w:rsid w:val="00E43BF4"/>
    <w:rsid w:val="00E51574"/>
    <w:rsid w:val="00E541CB"/>
    <w:rsid w:val="00E55CE5"/>
    <w:rsid w:val="00E64BFE"/>
    <w:rsid w:val="00E72E5C"/>
    <w:rsid w:val="00E74779"/>
    <w:rsid w:val="00E84F95"/>
    <w:rsid w:val="00E9102B"/>
    <w:rsid w:val="00E91AB3"/>
    <w:rsid w:val="00E96B06"/>
    <w:rsid w:val="00EA5404"/>
    <w:rsid w:val="00EB1FEE"/>
    <w:rsid w:val="00EB7DA9"/>
    <w:rsid w:val="00EF42E4"/>
    <w:rsid w:val="00F06814"/>
    <w:rsid w:val="00F263BE"/>
    <w:rsid w:val="00F510FE"/>
    <w:rsid w:val="00F54000"/>
    <w:rsid w:val="00F67688"/>
    <w:rsid w:val="00F90738"/>
    <w:rsid w:val="00FD4057"/>
    <w:rsid w:val="00FF378E"/>
    <w:rsid w:val="00FF6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62290"/>
  <w15:docId w15:val="{E6596DFC-CFB1-404F-A333-D0582E3D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paragraph" w:styleId="StandardWeb">
    <w:name w:val="Normal (Web)"/>
    <w:basedOn w:val="Standard"/>
    <w:uiPriority w:val="99"/>
    <w:semiHidden/>
    <w:unhideWhenUsed/>
    <w:rsid w:val="00BB58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x-60bc1f03a2-msolistparagraph">
    <w:name w:val="ox-60bc1f03a2-msolistparagraph"/>
    <w:basedOn w:val="Standard"/>
    <w:rsid w:val="001823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normal">
    <w:name w:val="text_normal"/>
    <w:basedOn w:val="Absatz-Standardschriftart"/>
    <w:rsid w:val="0079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0802">
      <w:bodyDiv w:val="1"/>
      <w:marLeft w:val="0"/>
      <w:marRight w:val="0"/>
      <w:marTop w:val="0"/>
      <w:marBottom w:val="0"/>
      <w:divBdr>
        <w:top w:val="none" w:sz="0" w:space="0" w:color="auto"/>
        <w:left w:val="none" w:sz="0" w:space="0" w:color="auto"/>
        <w:bottom w:val="none" w:sz="0" w:space="0" w:color="auto"/>
        <w:right w:val="none" w:sz="0" w:space="0" w:color="auto"/>
      </w:divBdr>
    </w:div>
    <w:div w:id="398792194">
      <w:bodyDiv w:val="1"/>
      <w:marLeft w:val="0"/>
      <w:marRight w:val="0"/>
      <w:marTop w:val="0"/>
      <w:marBottom w:val="0"/>
      <w:divBdr>
        <w:top w:val="none" w:sz="0" w:space="0" w:color="auto"/>
        <w:left w:val="none" w:sz="0" w:space="0" w:color="auto"/>
        <w:bottom w:val="none" w:sz="0" w:space="0" w:color="auto"/>
        <w:right w:val="none" w:sz="0" w:space="0" w:color="auto"/>
      </w:divBdr>
    </w:div>
    <w:div w:id="454755711">
      <w:bodyDiv w:val="1"/>
      <w:marLeft w:val="0"/>
      <w:marRight w:val="0"/>
      <w:marTop w:val="0"/>
      <w:marBottom w:val="0"/>
      <w:divBdr>
        <w:top w:val="none" w:sz="0" w:space="0" w:color="auto"/>
        <w:left w:val="none" w:sz="0" w:space="0" w:color="auto"/>
        <w:bottom w:val="none" w:sz="0" w:space="0" w:color="auto"/>
        <w:right w:val="none" w:sz="0" w:space="0" w:color="auto"/>
      </w:divBdr>
    </w:div>
    <w:div w:id="490214864">
      <w:bodyDiv w:val="1"/>
      <w:marLeft w:val="0"/>
      <w:marRight w:val="0"/>
      <w:marTop w:val="0"/>
      <w:marBottom w:val="0"/>
      <w:divBdr>
        <w:top w:val="none" w:sz="0" w:space="0" w:color="auto"/>
        <w:left w:val="none" w:sz="0" w:space="0" w:color="auto"/>
        <w:bottom w:val="none" w:sz="0" w:space="0" w:color="auto"/>
        <w:right w:val="none" w:sz="0" w:space="0" w:color="auto"/>
      </w:divBdr>
    </w:div>
    <w:div w:id="844590810">
      <w:bodyDiv w:val="1"/>
      <w:marLeft w:val="0"/>
      <w:marRight w:val="0"/>
      <w:marTop w:val="0"/>
      <w:marBottom w:val="0"/>
      <w:divBdr>
        <w:top w:val="none" w:sz="0" w:space="0" w:color="auto"/>
        <w:left w:val="none" w:sz="0" w:space="0" w:color="auto"/>
        <w:bottom w:val="none" w:sz="0" w:space="0" w:color="auto"/>
        <w:right w:val="none" w:sz="0" w:space="0" w:color="auto"/>
      </w:divBdr>
    </w:div>
    <w:div w:id="883173789">
      <w:bodyDiv w:val="1"/>
      <w:marLeft w:val="0"/>
      <w:marRight w:val="0"/>
      <w:marTop w:val="0"/>
      <w:marBottom w:val="0"/>
      <w:divBdr>
        <w:top w:val="none" w:sz="0" w:space="0" w:color="auto"/>
        <w:left w:val="none" w:sz="0" w:space="0" w:color="auto"/>
        <w:bottom w:val="none" w:sz="0" w:space="0" w:color="auto"/>
        <w:right w:val="none" w:sz="0" w:space="0" w:color="auto"/>
      </w:divBdr>
    </w:div>
    <w:div w:id="19656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warrlich.eu/pres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rrlich.eu/press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A849D-4EEB-4A22-BF9F-3305C8DB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Heike Bruchertseifer</dc:creator>
  <cp:lastModifiedBy>Heike</cp:lastModifiedBy>
  <cp:revision>2</cp:revision>
  <cp:lastPrinted>2017-06-15T09:32:00Z</cp:lastPrinted>
  <dcterms:created xsi:type="dcterms:W3CDTF">2017-11-08T09:43:00Z</dcterms:created>
  <dcterms:modified xsi:type="dcterms:W3CDTF">2017-11-08T09:43:00Z</dcterms:modified>
</cp:coreProperties>
</file>