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2E5C" w:rsidRPr="00E72E5C" w:rsidRDefault="005626FC" w:rsidP="00E72E5C">
      <w:pPr>
        <w:pStyle w:val="Kopfzeile"/>
        <w:tabs>
          <w:tab w:val="clear" w:pos="4536"/>
          <w:tab w:val="clear" w:pos="9072"/>
        </w:tabs>
        <w:snapToGrid w:val="0"/>
        <w:jc w:val="both"/>
        <w:rPr>
          <w:rFonts w:cs="Arial"/>
          <w:b/>
          <w:szCs w:val="24"/>
        </w:rPr>
      </w:pPr>
      <w:r>
        <w:rPr>
          <w:noProof/>
        </w:rPr>
        <w:drawing>
          <wp:anchor distT="0" distB="0" distL="114300" distR="114300" simplePos="0" relativeHeight="251663360" behindDoc="0" locked="0" layoutInCell="1" allowOverlap="1">
            <wp:simplePos x="0" y="0"/>
            <wp:positionH relativeFrom="margin">
              <wp:align>right</wp:align>
            </wp:positionH>
            <wp:positionV relativeFrom="paragraph">
              <wp:posOffset>6985</wp:posOffset>
            </wp:positionV>
            <wp:extent cx="2087880" cy="800100"/>
            <wp:effectExtent l="0" t="0" r="7620" b="0"/>
            <wp:wrapNone/>
            <wp:docPr id="3" name="Grafik 3" descr="C:\Users\Heike\AppData\Local\Microsoft\Windows\INetCache\Content.Word\NEU_Promo-Logo.jpeg"/>
            <wp:cNvGraphicFramePr/>
            <a:graphic xmlns:a="http://schemas.openxmlformats.org/drawingml/2006/main">
              <a:graphicData uri="http://schemas.openxmlformats.org/drawingml/2006/picture">
                <pic:pic xmlns:pic="http://schemas.openxmlformats.org/drawingml/2006/picture">
                  <pic:nvPicPr>
                    <pic:cNvPr id="2" name="Grafik 2" descr="C:\Users\Heike\AppData\Local\Microsoft\Windows\INetCache\Content.Word\NEU_Promo-Logo.jpe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788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2E5C" w:rsidRPr="00E72E5C" w:rsidRDefault="00E72E5C" w:rsidP="00E72E5C">
      <w:pPr>
        <w:pStyle w:val="Kopfzeile"/>
        <w:tabs>
          <w:tab w:val="clear" w:pos="4536"/>
          <w:tab w:val="clear" w:pos="9072"/>
        </w:tabs>
        <w:snapToGrid w:val="0"/>
        <w:jc w:val="both"/>
        <w:rPr>
          <w:rFonts w:cs="Arial"/>
          <w:b/>
          <w:szCs w:val="24"/>
        </w:rPr>
      </w:pPr>
      <w:r w:rsidRPr="00E72E5C">
        <w:rPr>
          <w:rFonts w:cs="Arial"/>
          <w:b/>
          <w:szCs w:val="24"/>
        </w:rPr>
        <w:t>Carl Warrlich GmbH</w:t>
      </w:r>
    </w:p>
    <w:p w:rsidR="00E72E5C" w:rsidRDefault="00E72E5C" w:rsidP="00E72E5C">
      <w:pPr>
        <w:pStyle w:val="Kopfzeile"/>
        <w:tabs>
          <w:tab w:val="clear" w:pos="4536"/>
          <w:tab w:val="clear" w:pos="9072"/>
        </w:tabs>
        <w:snapToGrid w:val="0"/>
        <w:jc w:val="both"/>
        <w:rPr>
          <w:rFonts w:cs="Arial"/>
          <w:sz w:val="18"/>
          <w:szCs w:val="18"/>
        </w:rPr>
      </w:pPr>
    </w:p>
    <w:p w:rsidR="00E72E5C" w:rsidRPr="00030304" w:rsidRDefault="00E72E5C" w:rsidP="00E72E5C">
      <w:pPr>
        <w:pStyle w:val="Kopfzeile"/>
        <w:tabs>
          <w:tab w:val="clear" w:pos="4536"/>
          <w:tab w:val="clear" w:pos="9072"/>
        </w:tabs>
        <w:snapToGrid w:val="0"/>
        <w:jc w:val="both"/>
        <w:rPr>
          <w:rFonts w:asciiTheme="minorHAnsi" w:hAnsiTheme="minorHAnsi" w:cstheme="minorHAnsi"/>
          <w:sz w:val="40"/>
          <w:szCs w:val="40"/>
        </w:rPr>
      </w:pPr>
      <w:r w:rsidRPr="00030304">
        <w:rPr>
          <w:rFonts w:asciiTheme="minorHAnsi" w:hAnsiTheme="minorHAnsi" w:cstheme="minorHAnsi"/>
          <w:sz w:val="40"/>
          <w:szCs w:val="40"/>
        </w:rPr>
        <w:t>Presse-Mitteilung</w:t>
      </w:r>
    </w:p>
    <w:p w:rsidR="00E72E5C" w:rsidRPr="00030304" w:rsidRDefault="00E72E5C" w:rsidP="00E72E5C">
      <w:pPr>
        <w:pStyle w:val="Kopfzeile"/>
        <w:tabs>
          <w:tab w:val="clear" w:pos="4536"/>
          <w:tab w:val="clear" w:pos="9072"/>
        </w:tabs>
        <w:snapToGrid w:val="0"/>
        <w:jc w:val="both"/>
        <w:rPr>
          <w:rFonts w:asciiTheme="minorHAnsi" w:hAnsiTheme="minorHAnsi" w:cstheme="minorHAnsi"/>
          <w:sz w:val="28"/>
          <w:szCs w:val="28"/>
        </w:rPr>
      </w:pPr>
    </w:p>
    <w:p w:rsidR="00E72E5C" w:rsidRPr="00030304" w:rsidRDefault="00E72E5C" w:rsidP="00E72E5C">
      <w:pPr>
        <w:pStyle w:val="Kopfzeile"/>
        <w:tabs>
          <w:tab w:val="clear" w:pos="4536"/>
          <w:tab w:val="clear" w:pos="9072"/>
        </w:tabs>
        <w:snapToGrid w:val="0"/>
        <w:jc w:val="both"/>
        <w:rPr>
          <w:rFonts w:asciiTheme="minorHAnsi" w:hAnsiTheme="minorHAnsi" w:cstheme="minorHAnsi"/>
          <w:sz w:val="28"/>
          <w:szCs w:val="28"/>
        </w:rPr>
      </w:pPr>
    </w:p>
    <w:p w:rsidR="00E72E5C" w:rsidRPr="00030304" w:rsidRDefault="00E72E5C" w:rsidP="00E72E5C">
      <w:pPr>
        <w:pStyle w:val="Kopfzeile"/>
        <w:tabs>
          <w:tab w:val="clear" w:pos="4536"/>
          <w:tab w:val="clear" w:pos="9072"/>
        </w:tabs>
        <w:snapToGrid w:val="0"/>
        <w:jc w:val="both"/>
        <w:rPr>
          <w:rFonts w:asciiTheme="minorHAnsi" w:hAnsiTheme="minorHAnsi" w:cstheme="minorHAnsi"/>
          <w:sz w:val="28"/>
          <w:szCs w:val="28"/>
        </w:rPr>
      </w:pPr>
    </w:p>
    <w:p w:rsidR="00E72E5C" w:rsidRPr="00030304" w:rsidRDefault="00E72E5C" w:rsidP="00E72E5C">
      <w:pPr>
        <w:pStyle w:val="Kopfzeile"/>
        <w:tabs>
          <w:tab w:val="clear" w:pos="4536"/>
          <w:tab w:val="clear" w:pos="9072"/>
        </w:tabs>
        <w:snapToGrid w:val="0"/>
        <w:jc w:val="both"/>
        <w:rPr>
          <w:rFonts w:asciiTheme="minorHAnsi" w:hAnsiTheme="minorHAnsi" w:cstheme="minorHAnsi"/>
          <w:szCs w:val="24"/>
        </w:rPr>
      </w:pPr>
    </w:p>
    <w:p w:rsidR="00E72E5C" w:rsidRPr="00030304" w:rsidRDefault="0021537D" w:rsidP="00E72E5C">
      <w:pPr>
        <w:pStyle w:val="Kopfzeile"/>
        <w:tabs>
          <w:tab w:val="clear" w:pos="4536"/>
          <w:tab w:val="clear" w:pos="9072"/>
        </w:tabs>
        <w:snapToGrid w:val="0"/>
        <w:jc w:val="both"/>
        <w:rPr>
          <w:rFonts w:asciiTheme="minorHAnsi" w:hAnsiTheme="minorHAnsi" w:cstheme="minorHAnsi"/>
          <w:szCs w:val="24"/>
        </w:rPr>
      </w:pP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t xml:space="preserve">    </w:t>
      </w:r>
      <w:r w:rsidR="0052593A">
        <w:rPr>
          <w:rFonts w:asciiTheme="minorHAnsi" w:hAnsiTheme="minorHAnsi" w:cstheme="minorHAnsi"/>
          <w:szCs w:val="24"/>
        </w:rPr>
        <w:t xml:space="preserve">Treffurt, </w:t>
      </w:r>
      <w:r w:rsidR="00E61307">
        <w:rPr>
          <w:rFonts w:asciiTheme="minorHAnsi" w:hAnsiTheme="minorHAnsi" w:cstheme="minorHAnsi"/>
          <w:szCs w:val="24"/>
        </w:rPr>
        <w:t>den 3. September 2017</w:t>
      </w:r>
    </w:p>
    <w:p w:rsidR="00E72E5C" w:rsidRPr="00030304" w:rsidRDefault="00E72E5C" w:rsidP="00E72E5C">
      <w:pPr>
        <w:pStyle w:val="Kopfzeile"/>
        <w:tabs>
          <w:tab w:val="clear" w:pos="4536"/>
          <w:tab w:val="clear" w:pos="9072"/>
        </w:tabs>
        <w:snapToGrid w:val="0"/>
        <w:jc w:val="both"/>
        <w:rPr>
          <w:rFonts w:asciiTheme="minorHAnsi" w:hAnsiTheme="minorHAnsi" w:cstheme="minorHAnsi"/>
          <w:sz w:val="28"/>
          <w:szCs w:val="28"/>
        </w:rPr>
      </w:pPr>
    </w:p>
    <w:p w:rsidR="00E72E5C" w:rsidRPr="00E55CE5" w:rsidRDefault="00E72E5C" w:rsidP="00E72E5C">
      <w:pPr>
        <w:pStyle w:val="Kopfzeile"/>
        <w:tabs>
          <w:tab w:val="clear" w:pos="4536"/>
          <w:tab w:val="clear" w:pos="9072"/>
        </w:tabs>
        <w:snapToGrid w:val="0"/>
        <w:jc w:val="both"/>
        <w:rPr>
          <w:rFonts w:cs="Arial"/>
          <w:szCs w:val="24"/>
        </w:rPr>
      </w:pPr>
    </w:p>
    <w:p w:rsidR="007B0834" w:rsidRPr="00E55CE5" w:rsidRDefault="00124833" w:rsidP="007B0834">
      <w:pPr>
        <w:snapToGrid w:val="0"/>
        <w:spacing w:line="300" w:lineRule="atLeast"/>
        <w:ind w:right="58"/>
        <w:jc w:val="both"/>
        <w:rPr>
          <w:rFonts w:ascii="Calibri" w:eastAsia="Calibri" w:hAnsi="Calibri" w:cs="Arial"/>
          <w:sz w:val="20"/>
        </w:rPr>
      </w:pPr>
      <w:r>
        <w:rPr>
          <w:rFonts w:cs="Arial"/>
          <w:sz w:val="20"/>
        </w:rPr>
        <w:t xml:space="preserve">Neuheiten </w:t>
      </w:r>
      <w:r w:rsidR="00E61307">
        <w:rPr>
          <w:rFonts w:cs="Arial"/>
          <w:sz w:val="20"/>
        </w:rPr>
        <w:t>2018</w:t>
      </w:r>
      <w:r w:rsidR="0048663E">
        <w:rPr>
          <w:rFonts w:cs="Arial"/>
          <w:sz w:val="20"/>
        </w:rPr>
        <w:t xml:space="preserve"> </w:t>
      </w:r>
      <w:r>
        <w:rPr>
          <w:rFonts w:cs="Arial"/>
          <w:sz w:val="20"/>
        </w:rPr>
        <w:t xml:space="preserve">der </w:t>
      </w:r>
      <w:r w:rsidR="007B0834" w:rsidRPr="00E55CE5">
        <w:rPr>
          <w:rFonts w:cs="Arial"/>
          <w:sz w:val="20"/>
        </w:rPr>
        <w:t xml:space="preserve">Carl Warrlich GmbH </w:t>
      </w:r>
    </w:p>
    <w:p w:rsidR="00B83444" w:rsidRDefault="00B83444" w:rsidP="00B83444">
      <w:pPr>
        <w:snapToGrid w:val="0"/>
        <w:spacing w:line="300" w:lineRule="atLeast"/>
        <w:ind w:right="58"/>
        <w:jc w:val="both"/>
        <w:rPr>
          <w:rFonts w:cs="Arial"/>
          <w:b/>
          <w:iCs/>
          <w:szCs w:val="24"/>
        </w:rPr>
      </w:pPr>
      <w:r>
        <w:rPr>
          <w:rFonts w:cs="Arial"/>
          <w:b/>
          <w:iCs/>
          <w:szCs w:val="24"/>
        </w:rPr>
        <w:t>WARRLICH POS:  Relaunch der Aktionsfläche mit Seitenbehang</w:t>
      </w:r>
    </w:p>
    <w:p w:rsidR="001524FE" w:rsidRDefault="008A26AC" w:rsidP="00B83444">
      <w:pPr>
        <w:rPr>
          <w:rFonts w:ascii="Calibri" w:eastAsia="Calibri" w:hAnsi="Calibri" w:cs="Arial"/>
          <w:iCs/>
          <w:szCs w:val="24"/>
        </w:rPr>
      </w:pPr>
      <w:r>
        <w:rPr>
          <w:rFonts w:ascii="Calibri" w:eastAsia="Calibri" w:hAnsi="Calibri" w:cs="Arial"/>
          <w:iCs/>
          <w:szCs w:val="24"/>
        </w:rPr>
        <w:t>Weit mehr</w:t>
      </w:r>
      <w:r w:rsidR="001524FE">
        <w:rPr>
          <w:rFonts w:ascii="Calibri" w:eastAsia="Calibri" w:hAnsi="Calibri" w:cs="Arial"/>
          <w:iCs/>
          <w:szCs w:val="24"/>
        </w:rPr>
        <w:t xml:space="preserve"> als in der Branche üblich, engagiert sich der führende Hersteller von Grillanzündern, Lampenölen und Heizhilfen, die Carl Warrlich GmbH, für integriertes Marketing und die optimale Präsentation der Produkte am POS. Gerade für die Warenpräsentation stehen dem Handel zahlreiche variable Lösungen für jede Geschäftsgröße und jeden Kunde</w:t>
      </w:r>
      <w:r>
        <w:rPr>
          <w:rFonts w:ascii="Calibri" w:eastAsia="Calibri" w:hAnsi="Calibri" w:cs="Arial"/>
          <w:iCs/>
          <w:szCs w:val="24"/>
        </w:rPr>
        <w:t>n</w:t>
      </w:r>
      <w:r w:rsidR="001524FE">
        <w:rPr>
          <w:rFonts w:ascii="Calibri" w:eastAsia="Calibri" w:hAnsi="Calibri" w:cs="Arial"/>
          <w:iCs/>
          <w:szCs w:val="24"/>
        </w:rPr>
        <w:t xml:space="preserve">bedarf zur Verfügung und tragen dazu bei, dass der Warenumschlag im Handel schnell und zügig erfolgen kann und gleichzeitig die Verbraucher optimal durch die Produkt- und Markenwelt des Unternehmens geführt werden. </w:t>
      </w:r>
    </w:p>
    <w:p w:rsidR="00B83444" w:rsidRDefault="001524FE" w:rsidP="001524FE">
      <w:pPr>
        <w:rPr>
          <w:rFonts w:ascii="Calibri" w:eastAsia="Calibri" w:hAnsi="Calibri" w:cs="Arial"/>
          <w:iCs/>
          <w:szCs w:val="24"/>
        </w:rPr>
      </w:pPr>
      <w:r>
        <w:rPr>
          <w:rFonts w:ascii="Calibri" w:eastAsia="Calibri" w:hAnsi="Calibri" w:cs="Arial"/>
          <w:iCs/>
          <w:szCs w:val="24"/>
        </w:rPr>
        <w:t xml:space="preserve">Besonders beliebt als übersichtliche Aktionsfläche auf Augenhöhe des Kunden ist das </w:t>
      </w:r>
      <w:r w:rsidR="00B83444">
        <w:rPr>
          <w:rFonts w:ascii="Calibri" w:eastAsia="Calibri" w:hAnsi="Calibri" w:cs="Arial"/>
          <w:iCs/>
          <w:szCs w:val="24"/>
        </w:rPr>
        <w:t xml:space="preserve">Display in den Maßen 1,20 Meter x 0,80 Meter x 2,00 Meter. </w:t>
      </w:r>
      <w:r>
        <w:rPr>
          <w:rFonts w:ascii="Calibri" w:eastAsia="Calibri" w:hAnsi="Calibri" w:cs="Arial"/>
          <w:iCs/>
          <w:szCs w:val="24"/>
        </w:rPr>
        <w:t>Das</w:t>
      </w:r>
      <w:r w:rsidR="00B83444">
        <w:rPr>
          <w:rFonts w:ascii="Calibri" w:eastAsia="Calibri" w:hAnsi="Calibri" w:cs="Arial"/>
          <w:iCs/>
          <w:szCs w:val="24"/>
        </w:rPr>
        <w:t xml:space="preserve"> robuste Metallgitter-Display </w:t>
      </w:r>
      <w:r>
        <w:rPr>
          <w:rFonts w:ascii="Calibri" w:eastAsia="Calibri" w:hAnsi="Calibri" w:cs="Arial"/>
          <w:iCs/>
          <w:szCs w:val="24"/>
        </w:rPr>
        <w:t>ist mit einem auffälligen</w:t>
      </w:r>
      <w:r w:rsidR="00B83444">
        <w:rPr>
          <w:rFonts w:ascii="Calibri" w:eastAsia="Calibri" w:hAnsi="Calibri" w:cs="Arial"/>
          <w:iCs/>
          <w:szCs w:val="24"/>
        </w:rPr>
        <w:t xml:space="preserve"> Stoffdach</w:t>
      </w:r>
      <w:r>
        <w:rPr>
          <w:rFonts w:ascii="Calibri" w:eastAsia="Calibri" w:hAnsi="Calibri" w:cs="Arial"/>
          <w:iCs/>
          <w:szCs w:val="24"/>
        </w:rPr>
        <w:t xml:space="preserve"> überzogen und verfügt seitlich über einen Behang, </w:t>
      </w:r>
      <w:r w:rsidR="00B83444">
        <w:rPr>
          <w:rFonts w:ascii="Calibri" w:eastAsia="Calibri" w:hAnsi="Calibri" w:cs="Arial"/>
          <w:iCs/>
          <w:szCs w:val="24"/>
        </w:rPr>
        <w:t>in dessen Körben sich weitere Artikel der FLAMAX</w:t>
      </w:r>
      <w:r w:rsidR="00B83444">
        <w:rPr>
          <w:rFonts w:ascii="Calibri" w:eastAsia="Calibri" w:hAnsi="Calibri" w:cs="Calibri"/>
          <w:iCs/>
          <w:szCs w:val="24"/>
        </w:rPr>
        <w:t xml:space="preserve">™ Markenwelt </w:t>
      </w:r>
      <w:r w:rsidR="00E020FE">
        <w:rPr>
          <w:rFonts w:ascii="Calibri" w:eastAsia="Calibri" w:hAnsi="Calibri" w:cs="Arial"/>
          <w:iCs/>
          <w:szCs w:val="24"/>
        </w:rPr>
        <w:t>anbieten</w:t>
      </w:r>
      <w:r w:rsidR="00B83444">
        <w:rPr>
          <w:rFonts w:ascii="Calibri" w:eastAsia="Calibri" w:hAnsi="Calibri" w:cs="Arial"/>
          <w:iCs/>
          <w:szCs w:val="24"/>
        </w:rPr>
        <w:t xml:space="preserve"> lassen. Zur Präsentation der Neuheiten kann der Seitenbehang außerdem mit Lochwandhaken bestückt werden. So lassen sich die neuen FLAMAX</w:t>
      </w:r>
      <w:r w:rsidR="00B83444">
        <w:rPr>
          <w:rFonts w:ascii="Calibri" w:eastAsia="Calibri" w:hAnsi="Calibri" w:cs="Calibri"/>
          <w:iCs/>
          <w:szCs w:val="24"/>
        </w:rPr>
        <w:t xml:space="preserve">™ </w:t>
      </w:r>
      <w:r>
        <w:rPr>
          <w:rFonts w:ascii="Calibri" w:eastAsia="Calibri" w:hAnsi="Calibri" w:cs="Calibri"/>
          <w:iCs/>
          <w:szCs w:val="24"/>
        </w:rPr>
        <w:t>Der Grüne-Weiße Anzünder in fester und flüssiger Form ebenfalls auf Augen</w:t>
      </w:r>
      <w:r w:rsidR="00B83444">
        <w:rPr>
          <w:rFonts w:ascii="Calibri" w:eastAsia="Calibri" w:hAnsi="Calibri" w:cs="Calibri"/>
          <w:iCs/>
          <w:szCs w:val="24"/>
        </w:rPr>
        <w:t>höhe des Verbrauchers platzsparend unterbringen.</w:t>
      </w:r>
    </w:p>
    <w:p w:rsidR="00B83444" w:rsidRPr="00226D09" w:rsidRDefault="00B83444" w:rsidP="00226D09">
      <w:pPr>
        <w:snapToGrid w:val="0"/>
        <w:spacing w:line="300" w:lineRule="atLeast"/>
        <w:ind w:right="58"/>
        <w:jc w:val="both"/>
        <w:rPr>
          <w:rFonts w:ascii="Calibri" w:eastAsia="Calibri" w:hAnsi="Calibri" w:cs="Calibri"/>
          <w:iCs/>
          <w:szCs w:val="24"/>
        </w:rPr>
      </w:pPr>
      <w:r>
        <w:rPr>
          <w:rFonts w:ascii="Calibri" w:eastAsia="Calibri" w:hAnsi="Calibri" w:cs="Arial"/>
          <w:iCs/>
          <w:szCs w:val="24"/>
        </w:rPr>
        <w:t xml:space="preserve">Das Display auf der Größe einer Euro-Palette ist </w:t>
      </w:r>
      <w:r w:rsidR="00B75CA4">
        <w:rPr>
          <w:rFonts w:ascii="Calibri" w:eastAsia="Calibri" w:hAnsi="Calibri" w:cs="Arial"/>
          <w:iCs/>
          <w:szCs w:val="24"/>
        </w:rPr>
        <w:t>derart neu bestückt völlig „</w:t>
      </w:r>
      <w:proofErr w:type="spellStart"/>
      <w:r w:rsidR="00B75CA4">
        <w:rPr>
          <w:rFonts w:ascii="Calibri" w:eastAsia="Calibri" w:hAnsi="Calibri" w:cs="Arial"/>
          <w:iCs/>
          <w:szCs w:val="24"/>
        </w:rPr>
        <w:t>up</w:t>
      </w:r>
      <w:proofErr w:type="spellEnd"/>
      <w:r w:rsidR="00B75CA4">
        <w:rPr>
          <w:rFonts w:ascii="Calibri" w:eastAsia="Calibri" w:hAnsi="Calibri" w:cs="Arial"/>
          <w:iCs/>
          <w:szCs w:val="24"/>
        </w:rPr>
        <w:t xml:space="preserve"> </w:t>
      </w:r>
      <w:proofErr w:type="spellStart"/>
      <w:r w:rsidR="00B75CA4">
        <w:rPr>
          <w:rFonts w:ascii="Calibri" w:eastAsia="Calibri" w:hAnsi="Calibri" w:cs="Arial"/>
          <w:iCs/>
          <w:szCs w:val="24"/>
        </w:rPr>
        <w:t>to</w:t>
      </w:r>
      <w:proofErr w:type="spellEnd"/>
      <w:r w:rsidR="00B75CA4">
        <w:rPr>
          <w:rFonts w:ascii="Calibri" w:eastAsia="Calibri" w:hAnsi="Calibri" w:cs="Arial"/>
          <w:iCs/>
          <w:szCs w:val="24"/>
        </w:rPr>
        <w:t xml:space="preserve"> date“ und noch dazu</w:t>
      </w:r>
      <w:r>
        <w:rPr>
          <w:rFonts w:ascii="Calibri" w:eastAsia="Calibri" w:hAnsi="Calibri" w:cs="Arial"/>
          <w:iCs/>
          <w:szCs w:val="24"/>
        </w:rPr>
        <w:t xml:space="preserve"> eine griffige Lösung für die Präsentation des Ganzjahresprogramms der FLAMAX</w:t>
      </w:r>
      <w:r>
        <w:rPr>
          <w:rFonts w:ascii="Calibri" w:eastAsia="Calibri" w:hAnsi="Calibri" w:cs="Calibri"/>
          <w:iCs/>
          <w:szCs w:val="24"/>
        </w:rPr>
        <w:t xml:space="preserve">™ Markenwelt, vom </w:t>
      </w:r>
      <w:r w:rsidR="001524FE">
        <w:rPr>
          <w:rFonts w:ascii="Calibri" w:eastAsia="Calibri" w:hAnsi="Calibri" w:cs="Calibri"/>
          <w:iCs/>
          <w:szCs w:val="24"/>
        </w:rPr>
        <w:t>K</w:t>
      </w:r>
      <w:r>
        <w:rPr>
          <w:rFonts w:ascii="Calibri" w:eastAsia="Calibri" w:hAnsi="Calibri" w:cs="Calibri"/>
          <w:iCs/>
          <w:szCs w:val="24"/>
        </w:rPr>
        <w:t>aminanzünder oder der</w:t>
      </w:r>
      <w:r>
        <w:rPr>
          <w:rFonts w:ascii="Calibri" w:eastAsia="Calibri" w:hAnsi="Calibri" w:cs="Arial"/>
          <w:iCs/>
          <w:szCs w:val="24"/>
        </w:rPr>
        <w:t xml:space="preserve"> FLAMAX</w:t>
      </w:r>
      <w:r w:rsidR="00B75CA4">
        <w:rPr>
          <w:rFonts w:ascii="Calibri" w:eastAsia="Calibri" w:hAnsi="Calibri" w:cs="Calibri"/>
          <w:iCs/>
          <w:szCs w:val="24"/>
        </w:rPr>
        <w:t xml:space="preserve">™ Serie der </w:t>
      </w:r>
      <w:r>
        <w:rPr>
          <w:rFonts w:ascii="Calibri" w:eastAsia="Calibri" w:hAnsi="Calibri" w:cs="Calibri"/>
          <w:iCs/>
          <w:szCs w:val="24"/>
        </w:rPr>
        <w:t>Bio-Grillanzünd</w:t>
      </w:r>
      <w:r w:rsidR="00226D09">
        <w:rPr>
          <w:rFonts w:ascii="Calibri" w:eastAsia="Calibri" w:hAnsi="Calibri" w:cs="Calibri"/>
          <w:iCs/>
          <w:szCs w:val="24"/>
        </w:rPr>
        <w:t xml:space="preserve">er bis hin zu diversem Zubehör. </w:t>
      </w:r>
      <w:bookmarkStart w:id="0" w:name="_GoBack"/>
      <w:bookmarkEnd w:id="0"/>
      <w:r w:rsidR="00226D09">
        <w:rPr>
          <w:rFonts w:ascii="Calibri" w:eastAsia="Calibri" w:hAnsi="Calibri" w:cs="Calibri"/>
          <w:iCs/>
          <w:szCs w:val="24"/>
        </w:rPr>
        <w:t xml:space="preserve">             (Warrlich)</w:t>
      </w:r>
    </w:p>
    <w:p w:rsidR="00B83444" w:rsidRDefault="00B83444" w:rsidP="00B83444">
      <w:pPr>
        <w:spacing w:line="300" w:lineRule="atLeast"/>
        <w:jc w:val="both"/>
        <w:rPr>
          <w:rFonts w:ascii="Calibri" w:eastAsia="Calibri" w:hAnsi="Calibri" w:cs="Arial"/>
        </w:rPr>
      </w:pPr>
      <w:r>
        <w:rPr>
          <w:rFonts w:ascii="Calibri" w:eastAsia="Calibri" w:hAnsi="Calibri" w:cs="Arial"/>
        </w:rPr>
        <w:t xml:space="preserve">Mehr Informationen unter </w:t>
      </w:r>
      <w:hyperlink r:id="rId8" w:history="1">
        <w:r>
          <w:rPr>
            <w:rStyle w:val="Hyperlink"/>
            <w:rFonts w:ascii="Calibri" w:eastAsia="Calibri" w:hAnsi="Calibri" w:cs="Arial"/>
          </w:rPr>
          <w:t>www.warrlich.eu</w:t>
        </w:r>
      </w:hyperlink>
    </w:p>
    <w:p w:rsidR="0058238F" w:rsidRDefault="0058238F" w:rsidP="0058238F">
      <w:pPr>
        <w:pStyle w:val="Kopfzeile"/>
        <w:tabs>
          <w:tab w:val="clear" w:pos="4536"/>
          <w:tab w:val="clear" w:pos="9072"/>
        </w:tabs>
        <w:snapToGrid w:val="0"/>
        <w:jc w:val="both"/>
        <w:rPr>
          <w:rFonts w:cs="Arial"/>
          <w:sz w:val="18"/>
          <w:szCs w:val="18"/>
        </w:rPr>
      </w:pPr>
    </w:p>
    <w:p w:rsidR="00A04205" w:rsidRDefault="00A04205" w:rsidP="00A04205">
      <w:pPr>
        <w:rPr>
          <w:color w:val="000000"/>
        </w:rPr>
      </w:pPr>
      <w:r>
        <w:rPr>
          <w:color w:val="000000"/>
        </w:rPr>
        <w:t> </w:t>
      </w:r>
    </w:p>
    <w:p w:rsidR="00A04205" w:rsidRDefault="00A04205" w:rsidP="00A04205">
      <w:pPr>
        <w:rPr>
          <w:color w:val="000000"/>
        </w:rPr>
      </w:pPr>
      <w:r>
        <w:rPr>
          <w:color w:val="000000"/>
        </w:rPr>
        <w:t> </w:t>
      </w:r>
    </w:p>
    <w:p w:rsidR="00A04205" w:rsidRDefault="00A04205" w:rsidP="00A04205">
      <w:pPr>
        <w:rPr>
          <w:color w:val="000000"/>
        </w:rPr>
      </w:pPr>
      <w:r>
        <w:rPr>
          <w:color w:val="000000"/>
        </w:rPr>
        <w:t> </w:t>
      </w:r>
    </w:p>
    <w:p w:rsidR="007B0834" w:rsidRDefault="007B0834" w:rsidP="007B0834">
      <w:pPr>
        <w:spacing w:line="300" w:lineRule="atLeast"/>
        <w:jc w:val="both"/>
        <w:rPr>
          <w:rFonts w:ascii="Calibri" w:eastAsia="Calibri" w:hAnsi="Calibri" w:cs="Arial"/>
        </w:rPr>
      </w:pPr>
    </w:p>
    <w:p w:rsidR="003F2AC7" w:rsidRDefault="003F2AC7" w:rsidP="007B0834">
      <w:pPr>
        <w:spacing w:line="300" w:lineRule="atLeast"/>
        <w:jc w:val="both"/>
        <w:rPr>
          <w:rFonts w:ascii="Calibri" w:eastAsia="Calibri" w:hAnsi="Calibri" w:cs="Arial"/>
        </w:rPr>
      </w:pPr>
    </w:p>
    <w:p w:rsidR="003F2AC7" w:rsidRDefault="004C4CEF" w:rsidP="007B0834">
      <w:pPr>
        <w:spacing w:line="300" w:lineRule="atLeast"/>
        <w:jc w:val="both"/>
        <w:rPr>
          <w:rFonts w:ascii="Calibri" w:eastAsia="Calibri" w:hAnsi="Calibri" w:cs="Arial"/>
        </w:rPr>
      </w:pPr>
      <w:r>
        <w:rPr>
          <w:noProof/>
        </w:rPr>
        <w:lastRenderedPageBreak/>
        <w:drawing>
          <wp:anchor distT="0" distB="0" distL="114300" distR="114300" simplePos="0" relativeHeight="251662336" behindDoc="0" locked="0" layoutInCell="1" allowOverlap="1">
            <wp:simplePos x="0" y="0"/>
            <wp:positionH relativeFrom="margin">
              <wp:posOffset>-635</wp:posOffset>
            </wp:positionH>
            <wp:positionV relativeFrom="paragraph">
              <wp:posOffset>-256540</wp:posOffset>
            </wp:positionV>
            <wp:extent cx="3507740" cy="5478780"/>
            <wp:effectExtent l="0" t="0" r="0" b="7620"/>
            <wp:wrapNone/>
            <wp:docPr id="2" name="Grafik 2" descr="C:\Users\Heike\AppData\Local\Microsoft\Windows\INetCache\Content.Word\_118A45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ike\AppData\Local\Microsoft\Windows\INetCache\Content.Word\_118A459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07740" cy="5478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2AC7" w:rsidRDefault="003F2AC7" w:rsidP="007B0834">
      <w:pPr>
        <w:spacing w:line="300" w:lineRule="atLeast"/>
        <w:jc w:val="both"/>
        <w:rPr>
          <w:rFonts w:ascii="Calibri" w:eastAsia="Calibri" w:hAnsi="Calibri" w:cs="Arial"/>
        </w:rPr>
      </w:pPr>
    </w:p>
    <w:p w:rsidR="00B75CA4" w:rsidRDefault="00B75CA4" w:rsidP="00B83444">
      <w:pPr>
        <w:spacing w:line="300" w:lineRule="atLeast"/>
        <w:jc w:val="center"/>
        <w:rPr>
          <w:rFonts w:ascii="Calibri" w:eastAsia="Calibri" w:hAnsi="Calibri" w:cs="Arial"/>
          <w:noProof/>
          <w:color w:val="FF0000"/>
          <w:lang w:eastAsia="de-DE"/>
        </w:rPr>
      </w:pPr>
    </w:p>
    <w:p w:rsidR="00B75CA4" w:rsidRDefault="00B75CA4" w:rsidP="00B83444">
      <w:pPr>
        <w:spacing w:line="300" w:lineRule="atLeast"/>
        <w:jc w:val="center"/>
        <w:rPr>
          <w:rFonts w:ascii="Calibri" w:eastAsia="Calibri" w:hAnsi="Calibri" w:cs="Arial"/>
          <w:noProof/>
          <w:color w:val="FF0000"/>
          <w:lang w:eastAsia="de-DE"/>
        </w:rPr>
      </w:pPr>
    </w:p>
    <w:p w:rsidR="004C4CEF" w:rsidRDefault="004C4CEF" w:rsidP="004C4CEF">
      <w:pPr>
        <w:spacing w:line="300" w:lineRule="atLeast"/>
        <w:jc w:val="center"/>
        <w:rPr>
          <w:rFonts w:ascii="Calibri" w:eastAsia="Calibri" w:hAnsi="Calibri" w:cs="Arial"/>
          <w:noProof/>
          <w:color w:val="FF0000"/>
          <w:lang w:eastAsia="de-DE"/>
        </w:rPr>
      </w:pPr>
    </w:p>
    <w:p w:rsidR="004C4CEF" w:rsidRDefault="004C4CEF" w:rsidP="004C4CEF">
      <w:pPr>
        <w:spacing w:line="300" w:lineRule="atLeast"/>
        <w:jc w:val="center"/>
        <w:rPr>
          <w:rFonts w:ascii="Calibri" w:eastAsia="Calibri" w:hAnsi="Calibri" w:cs="Arial"/>
          <w:noProof/>
          <w:color w:val="FF0000"/>
          <w:lang w:eastAsia="de-DE"/>
        </w:rPr>
      </w:pPr>
    </w:p>
    <w:p w:rsidR="004C4CEF" w:rsidRDefault="004C4CEF" w:rsidP="004C4CEF">
      <w:pPr>
        <w:spacing w:line="300" w:lineRule="atLeast"/>
        <w:jc w:val="center"/>
        <w:rPr>
          <w:rFonts w:ascii="Calibri" w:eastAsia="Calibri" w:hAnsi="Calibri" w:cs="Arial"/>
          <w:noProof/>
          <w:color w:val="FF0000"/>
          <w:lang w:eastAsia="de-DE"/>
        </w:rPr>
      </w:pPr>
    </w:p>
    <w:p w:rsidR="004C4CEF" w:rsidRDefault="004C4CEF" w:rsidP="004C4CEF">
      <w:pPr>
        <w:spacing w:line="300" w:lineRule="atLeast"/>
        <w:jc w:val="center"/>
        <w:rPr>
          <w:rFonts w:ascii="Calibri" w:eastAsia="Calibri" w:hAnsi="Calibri" w:cs="Arial"/>
          <w:noProof/>
          <w:color w:val="FF0000"/>
          <w:lang w:eastAsia="de-DE"/>
        </w:rPr>
      </w:pPr>
    </w:p>
    <w:p w:rsidR="004C4CEF" w:rsidRDefault="004C4CEF" w:rsidP="004C4CEF">
      <w:pPr>
        <w:spacing w:line="300" w:lineRule="atLeast"/>
        <w:jc w:val="center"/>
        <w:rPr>
          <w:rFonts w:ascii="Calibri" w:eastAsia="Calibri" w:hAnsi="Calibri" w:cs="Arial"/>
          <w:noProof/>
          <w:color w:val="FF0000"/>
          <w:lang w:eastAsia="de-DE"/>
        </w:rPr>
      </w:pPr>
    </w:p>
    <w:p w:rsidR="004C4CEF" w:rsidRDefault="004C4CEF" w:rsidP="004C4CEF">
      <w:pPr>
        <w:spacing w:line="300" w:lineRule="atLeast"/>
        <w:jc w:val="center"/>
        <w:rPr>
          <w:rFonts w:cs="Arial"/>
          <w:color w:val="000000"/>
          <w:sz w:val="18"/>
          <w:szCs w:val="18"/>
        </w:rPr>
      </w:pPr>
    </w:p>
    <w:p w:rsidR="006A3885" w:rsidRDefault="006A3885" w:rsidP="00E72E5C">
      <w:pPr>
        <w:pStyle w:val="Kopfzeile"/>
        <w:tabs>
          <w:tab w:val="clear" w:pos="4536"/>
          <w:tab w:val="clear" w:pos="9072"/>
        </w:tabs>
        <w:jc w:val="both"/>
        <w:rPr>
          <w:rFonts w:cs="Arial"/>
          <w:color w:val="000000"/>
          <w:sz w:val="18"/>
          <w:szCs w:val="18"/>
        </w:rPr>
      </w:pPr>
    </w:p>
    <w:p w:rsidR="006A3885" w:rsidRDefault="006A3885" w:rsidP="00E72E5C">
      <w:pPr>
        <w:pStyle w:val="Kopfzeile"/>
        <w:tabs>
          <w:tab w:val="clear" w:pos="4536"/>
          <w:tab w:val="clear" w:pos="9072"/>
        </w:tabs>
        <w:jc w:val="both"/>
        <w:rPr>
          <w:rFonts w:cs="Arial"/>
          <w:color w:val="000000"/>
          <w:sz w:val="18"/>
          <w:szCs w:val="18"/>
        </w:rPr>
      </w:pPr>
    </w:p>
    <w:p w:rsidR="006A3885" w:rsidRDefault="006A3885" w:rsidP="00E72E5C">
      <w:pPr>
        <w:pStyle w:val="Kopfzeile"/>
        <w:tabs>
          <w:tab w:val="clear" w:pos="4536"/>
          <w:tab w:val="clear" w:pos="9072"/>
        </w:tabs>
        <w:jc w:val="both"/>
        <w:rPr>
          <w:rFonts w:cs="Arial"/>
          <w:color w:val="000000"/>
          <w:sz w:val="18"/>
          <w:szCs w:val="18"/>
        </w:rPr>
      </w:pPr>
    </w:p>
    <w:p w:rsidR="006A3885" w:rsidRDefault="006A3885" w:rsidP="00E72E5C">
      <w:pPr>
        <w:pStyle w:val="Kopfzeile"/>
        <w:tabs>
          <w:tab w:val="clear" w:pos="4536"/>
          <w:tab w:val="clear" w:pos="9072"/>
        </w:tabs>
        <w:jc w:val="both"/>
        <w:rPr>
          <w:rFonts w:cs="Arial"/>
          <w:color w:val="000000"/>
          <w:sz w:val="18"/>
          <w:szCs w:val="18"/>
        </w:rPr>
      </w:pPr>
    </w:p>
    <w:p w:rsidR="00EE39A8" w:rsidRDefault="00EE39A8" w:rsidP="00E72E5C">
      <w:pPr>
        <w:pStyle w:val="Kopfzeile"/>
        <w:tabs>
          <w:tab w:val="clear" w:pos="4536"/>
          <w:tab w:val="clear" w:pos="9072"/>
        </w:tabs>
        <w:jc w:val="both"/>
        <w:rPr>
          <w:rFonts w:cs="Arial"/>
          <w:color w:val="000000"/>
          <w:sz w:val="18"/>
          <w:szCs w:val="18"/>
        </w:rPr>
      </w:pPr>
    </w:p>
    <w:p w:rsidR="00EE39A8" w:rsidRDefault="00EE39A8" w:rsidP="00E72E5C">
      <w:pPr>
        <w:pStyle w:val="Kopfzeile"/>
        <w:tabs>
          <w:tab w:val="clear" w:pos="4536"/>
          <w:tab w:val="clear" w:pos="9072"/>
        </w:tabs>
        <w:jc w:val="both"/>
        <w:rPr>
          <w:rFonts w:cs="Arial"/>
          <w:color w:val="000000"/>
          <w:sz w:val="18"/>
          <w:szCs w:val="18"/>
        </w:rPr>
      </w:pPr>
    </w:p>
    <w:p w:rsidR="00EE39A8" w:rsidRDefault="00EE39A8" w:rsidP="00E72E5C">
      <w:pPr>
        <w:pStyle w:val="Kopfzeile"/>
        <w:tabs>
          <w:tab w:val="clear" w:pos="4536"/>
          <w:tab w:val="clear" w:pos="9072"/>
        </w:tabs>
        <w:jc w:val="both"/>
        <w:rPr>
          <w:rFonts w:cs="Arial"/>
          <w:color w:val="000000"/>
          <w:sz w:val="18"/>
          <w:szCs w:val="18"/>
        </w:rPr>
      </w:pPr>
    </w:p>
    <w:p w:rsidR="00EE39A8" w:rsidRDefault="00EE39A8" w:rsidP="00E72E5C">
      <w:pPr>
        <w:pStyle w:val="Kopfzeile"/>
        <w:tabs>
          <w:tab w:val="clear" w:pos="4536"/>
          <w:tab w:val="clear" w:pos="9072"/>
        </w:tabs>
        <w:jc w:val="both"/>
        <w:rPr>
          <w:rFonts w:cs="Arial"/>
          <w:color w:val="000000"/>
          <w:sz w:val="18"/>
          <w:szCs w:val="18"/>
        </w:rPr>
      </w:pPr>
    </w:p>
    <w:p w:rsidR="00EE39A8" w:rsidRDefault="00EE39A8" w:rsidP="00E72E5C">
      <w:pPr>
        <w:pStyle w:val="Kopfzeile"/>
        <w:tabs>
          <w:tab w:val="clear" w:pos="4536"/>
          <w:tab w:val="clear" w:pos="9072"/>
        </w:tabs>
        <w:jc w:val="both"/>
        <w:rPr>
          <w:rFonts w:cs="Arial"/>
          <w:color w:val="000000"/>
          <w:sz w:val="18"/>
          <w:szCs w:val="18"/>
        </w:rPr>
      </w:pPr>
    </w:p>
    <w:p w:rsidR="00EE39A8" w:rsidRDefault="00EE39A8" w:rsidP="00E72E5C">
      <w:pPr>
        <w:pStyle w:val="Kopfzeile"/>
        <w:tabs>
          <w:tab w:val="clear" w:pos="4536"/>
          <w:tab w:val="clear" w:pos="9072"/>
        </w:tabs>
        <w:jc w:val="both"/>
        <w:rPr>
          <w:rFonts w:cs="Arial"/>
          <w:color w:val="000000"/>
          <w:sz w:val="18"/>
          <w:szCs w:val="18"/>
        </w:rPr>
      </w:pPr>
    </w:p>
    <w:p w:rsidR="00B75CA4" w:rsidRDefault="00B75CA4" w:rsidP="00E72E5C">
      <w:pPr>
        <w:pStyle w:val="Kopfzeile"/>
        <w:tabs>
          <w:tab w:val="clear" w:pos="4536"/>
          <w:tab w:val="clear" w:pos="9072"/>
        </w:tabs>
        <w:jc w:val="both"/>
        <w:rPr>
          <w:rFonts w:cs="Arial"/>
          <w:color w:val="000000"/>
          <w:sz w:val="18"/>
          <w:szCs w:val="18"/>
        </w:rPr>
      </w:pPr>
    </w:p>
    <w:p w:rsidR="008A26AC" w:rsidRDefault="008A26AC" w:rsidP="00E72E5C">
      <w:pPr>
        <w:pStyle w:val="Kopfzeile"/>
        <w:tabs>
          <w:tab w:val="clear" w:pos="4536"/>
          <w:tab w:val="clear" w:pos="9072"/>
        </w:tabs>
        <w:jc w:val="both"/>
        <w:rPr>
          <w:rFonts w:cs="Arial"/>
          <w:color w:val="000000"/>
          <w:sz w:val="18"/>
          <w:szCs w:val="18"/>
        </w:rPr>
      </w:pPr>
    </w:p>
    <w:p w:rsidR="008A26AC" w:rsidRDefault="008A26AC" w:rsidP="00E72E5C">
      <w:pPr>
        <w:pStyle w:val="Kopfzeile"/>
        <w:tabs>
          <w:tab w:val="clear" w:pos="4536"/>
          <w:tab w:val="clear" w:pos="9072"/>
        </w:tabs>
        <w:jc w:val="both"/>
        <w:rPr>
          <w:rFonts w:cs="Arial"/>
          <w:color w:val="000000"/>
          <w:sz w:val="18"/>
          <w:szCs w:val="18"/>
        </w:rPr>
      </w:pPr>
    </w:p>
    <w:p w:rsidR="00B75CA4" w:rsidRDefault="00B75CA4" w:rsidP="00E72E5C">
      <w:pPr>
        <w:pStyle w:val="Kopfzeile"/>
        <w:tabs>
          <w:tab w:val="clear" w:pos="4536"/>
          <w:tab w:val="clear" w:pos="9072"/>
        </w:tabs>
        <w:jc w:val="both"/>
        <w:rPr>
          <w:rFonts w:cs="Arial"/>
          <w:color w:val="000000"/>
          <w:sz w:val="18"/>
          <w:szCs w:val="18"/>
        </w:rPr>
      </w:pPr>
    </w:p>
    <w:p w:rsidR="00B75CA4" w:rsidRDefault="00B75CA4" w:rsidP="00E72E5C">
      <w:pPr>
        <w:pStyle w:val="Kopfzeile"/>
        <w:tabs>
          <w:tab w:val="clear" w:pos="4536"/>
          <w:tab w:val="clear" w:pos="9072"/>
        </w:tabs>
        <w:jc w:val="both"/>
        <w:rPr>
          <w:rFonts w:cs="Arial"/>
          <w:color w:val="000000"/>
          <w:sz w:val="18"/>
          <w:szCs w:val="18"/>
        </w:rPr>
      </w:pPr>
    </w:p>
    <w:p w:rsidR="00B75CA4" w:rsidRDefault="00B75CA4" w:rsidP="00E72E5C">
      <w:pPr>
        <w:pStyle w:val="Kopfzeile"/>
        <w:tabs>
          <w:tab w:val="clear" w:pos="4536"/>
          <w:tab w:val="clear" w:pos="9072"/>
        </w:tabs>
        <w:jc w:val="both"/>
        <w:rPr>
          <w:rFonts w:cs="Arial"/>
          <w:color w:val="000000"/>
          <w:sz w:val="18"/>
          <w:szCs w:val="18"/>
        </w:rPr>
      </w:pPr>
    </w:p>
    <w:p w:rsidR="00EE39A8" w:rsidRDefault="00EE39A8" w:rsidP="00E72E5C">
      <w:pPr>
        <w:pStyle w:val="Kopfzeile"/>
        <w:tabs>
          <w:tab w:val="clear" w:pos="4536"/>
          <w:tab w:val="clear" w:pos="9072"/>
        </w:tabs>
        <w:jc w:val="both"/>
        <w:rPr>
          <w:rFonts w:cs="Arial"/>
          <w:color w:val="000000"/>
          <w:sz w:val="18"/>
          <w:szCs w:val="18"/>
        </w:rPr>
      </w:pPr>
    </w:p>
    <w:p w:rsidR="00EE39A8" w:rsidRDefault="00EE39A8" w:rsidP="00E72E5C">
      <w:pPr>
        <w:pStyle w:val="Kopfzeile"/>
        <w:tabs>
          <w:tab w:val="clear" w:pos="4536"/>
          <w:tab w:val="clear" w:pos="9072"/>
        </w:tabs>
        <w:jc w:val="both"/>
        <w:rPr>
          <w:rFonts w:cs="Arial"/>
          <w:color w:val="000000"/>
          <w:sz w:val="18"/>
          <w:szCs w:val="18"/>
        </w:rPr>
      </w:pPr>
    </w:p>
    <w:p w:rsidR="005E0217" w:rsidRDefault="00E61307" w:rsidP="00E72E5C">
      <w:pPr>
        <w:pStyle w:val="Kopfzeile"/>
        <w:tabs>
          <w:tab w:val="clear" w:pos="4536"/>
          <w:tab w:val="clear" w:pos="9072"/>
        </w:tabs>
        <w:jc w:val="both"/>
        <w:rPr>
          <w:rFonts w:cs="Arial"/>
          <w:color w:val="000000"/>
          <w:sz w:val="18"/>
          <w:szCs w:val="18"/>
        </w:rPr>
      </w:pPr>
      <w:r>
        <w:rPr>
          <w:rFonts w:cs="Arial"/>
          <w:color w:val="000000"/>
          <w:sz w:val="18"/>
          <w:szCs w:val="18"/>
        </w:rPr>
        <w:t>Foto: Warrlich/2017</w:t>
      </w:r>
    </w:p>
    <w:p w:rsidR="005E0217" w:rsidRDefault="005E0217" w:rsidP="00E72E5C">
      <w:pPr>
        <w:pStyle w:val="Kopfzeile"/>
        <w:tabs>
          <w:tab w:val="clear" w:pos="4536"/>
          <w:tab w:val="clear" w:pos="9072"/>
        </w:tabs>
        <w:jc w:val="both"/>
        <w:rPr>
          <w:rFonts w:cs="Arial"/>
          <w:color w:val="000000"/>
          <w:sz w:val="18"/>
          <w:szCs w:val="18"/>
        </w:rPr>
      </w:pPr>
    </w:p>
    <w:p w:rsidR="005E0217" w:rsidRDefault="00DD4D88" w:rsidP="005E0217">
      <w:pPr>
        <w:snapToGrid w:val="0"/>
        <w:spacing w:line="300" w:lineRule="atLeast"/>
        <w:ind w:right="58"/>
        <w:jc w:val="both"/>
        <w:rPr>
          <w:rFonts w:cstheme="minorHAnsi"/>
          <w:color w:val="000000"/>
          <w:shd w:val="clear" w:color="auto" w:fill="FFFFFF"/>
        </w:rPr>
      </w:pPr>
      <w:r>
        <w:rPr>
          <w:rFonts w:cstheme="minorHAnsi"/>
          <w:color w:val="000000"/>
        </w:rPr>
        <w:t xml:space="preserve">Die Carl Warrlich GmbH hat </w:t>
      </w:r>
      <w:r w:rsidR="00B75CA4">
        <w:rPr>
          <w:rFonts w:cstheme="minorHAnsi"/>
          <w:color w:val="000000"/>
        </w:rPr>
        <w:t>ihren</w:t>
      </w:r>
      <w:r>
        <w:rPr>
          <w:rFonts w:cstheme="minorHAnsi"/>
          <w:color w:val="000000"/>
        </w:rPr>
        <w:t xml:space="preserve"> bewährten Kompetenz-Anzündshop XXL für die Ganzjahrespräsentation der </w:t>
      </w:r>
      <w:r>
        <w:rPr>
          <w:rFonts w:cs="Arial"/>
          <w:iCs/>
          <w:szCs w:val="24"/>
        </w:rPr>
        <w:t>FLAMAX</w:t>
      </w:r>
      <w:r>
        <w:rPr>
          <w:rFonts w:cstheme="minorHAnsi"/>
          <w:iCs/>
          <w:szCs w:val="24"/>
        </w:rPr>
        <w:t xml:space="preserve">™ </w:t>
      </w:r>
      <w:r w:rsidR="002A2ED5">
        <w:rPr>
          <w:rFonts w:cstheme="minorHAnsi"/>
          <w:iCs/>
          <w:szCs w:val="24"/>
        </w:rPr>
        <w:t>Anzündhilfen runderneu</w:t>
      </w:r>
      <w:r>
        <w:rPr>
          <w:rFonts w:cstheme="minorHAnsi"/>
          <w:iCs/>
          <w:szCs w:val="24"/>
        </w:rPr>
        <w:t>ert</w:t>
      </w:r>
      <w:r w:rsidR="00B75CA4">
        <w:rPr>
          <w:rFonts w:cstheme="minorHAnsi"/>
          <w:iCs/>
          <w:szCs w:val="24"/>
        </w:rPr>
        <w:t xml:space="preserve"> und die </w:t>
      </w:r>
      <w:r w:rsidR="00B75CA4">
        <w:rPr>
          <w:rFonts w:cs="Arial"/>
          <w:iCs/>
          <w:szCs w:val="24"/>
        </w:rPr>
        <w:t>FLAMAX</w:t>
      </w:r>
      <w:r w:rsidR="00B75CA4">
        <w:rPr>
          <w:rFonts w:cstheme="minorHAnsi"/>
          <w:iCs/>
          <w:szCs w:val="24"/>
        </w:rPr>
        <w:t xml:space="preserve">™ Produktneuheiten integriert. Jetzt auch dabei auf Augenhöhe des Verbrauchers: der neue </w:t>
      </w:r>
      <w:r w:rsidR="00B75CA4">
        <w:rPr>
          <w:rFonts w:ascii="Calibri" w:eastAsia="Calibri" w:hAnsi="Calibri" w:cs="Arial"/>
          <w:iCs/>
          <w:szCs w:val="24"/>
        </w:rPr>
        <w:t>FLAMAX</w:t>
      </w:r>
      <w:r w:rsidR="00B75CA4">
        <w:rPr>
          <w:rFonts w:ascii="Calibri" w:eastAsia="Calibri" w:hAnsi="Calibri" w:cs="Calibri"/>
          <w:iCs/>
          <w:szCs w:val="24"/>
        </w:rPr>
        <w:t xml:space="preserve">™ Der Grüne-Weiße Anzünder in fester und flüssiger Form.                                                                      </w:t>
      </w:r>
      <w:r w:rsidR="00B75CA4">
        <w:rPr>
          <w:rFonts w:cstheme="minorHAnsi"/>
          <w:iCs/>
          <w:szCs w:val="24"/>
        </w:rPr>
        <w:t xml:space="preserve"> </w:t>
      </w:r>
      <w:r w:rsidR="005E0217">
        <w:rPr>
          <w:rFonts w:cstheme="minorHAnsi"/>
          <w:color w:val="000000"/>
          <w:shd w:val="clear" w:color="auto" w:fill="FFFFFF"/>
        </w:rPr>
        <w:t>(Warrlich)</w:t>
      </w:r>
    </w:p>
    <w:p w:rsidR="00205A8A" w:rsidRDefault="00205A8A" w:rsidP="00E72E5C">
      <w:pPr>
        <w:pStyle w:val="Kopfzeile"/>
        <w:tabs>
          <w:tab w:val="clear" w:pos="4536"/>
          <w:tab w:val="clear" w:pos="9072"/>
        </w:tabs>
        <w:jc w:val="both"/>
        <w:rPr>
          <w:rFonts w:cs="Arial"/>
          <w:color w:val="000000"/>
          <w:sz w:val="18"/>
          <w:szCs w:val="18"/>
        </w:rPr>
      </w:pPr>
    </w:p>
    <w:p w:rsidR="000D47B9" w:rsidRPr="00DE7EA9" w:rsidRDefault="0058238F" w:rsidP="000D47B9">
      <w:pPr>
        <w:pStyle w:val="Kopfzeile"/>
        <w:tabs>
          <w:tab w:val="clear" w:pos="4536"/>
          <w:tab w:val="clear" w:pos="9072"/>
        </w:tabs>
        <w:snapToGrid w:val="0"/>
        <w:jc w:val="both"/>
        <w:rPr>
          <w:rFonts w:cs="Arial"/>
          <w:sz w:val="18"/>
          <w:szCs w:val="18"/>
        </w:rPr>
      </w:pPr>
      <w:r>
        <w:rPr>
          <w:rFonts w:cs="Arial"/>
          <w:noProof/>
          <w:sz w:val="18"/>
          <w:szCs w:val="18"/>
          <w:lang w:eastAsia="de-DE"/>
        </w:rPr>
        <w:drawing>
          <wp:anchor distT="0" distB="0" distL="114300" distR="114300" simplePos="0" relativeHeight="251661312" behindDoc="0" locked="0" layoutInCell="1" allowOverlap="1">
            <wp:simplePos x="0" y="0"/>
            <wp:positionH relativeFrom="column">
              <wp:posOffset>4349115</wp:posOffset>
            </wp:positionH>
            <wp:positionV relativeFrom="paragraph">
              <wp:posOffset>27940</wp:posOffset>
            </wp:positionV>
            <wp:extent cx="580390" cy="584835"/>
            <wp:effectExtent l="19050" t="0" r="0" b="0"/>
            <wp:wrapNone/>
            <wp:docPr id="4" name="Bild 1" descr="C:\Daten\WARRLICH\Bilder\QR-Code_pre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en\WARRLICH\Bilder\QR-Code_presse.jpg"/>
                    <pic:cNvPicPr>
                      <a:picLocks noChangeAspect="1" noChangeArrowheads="1"/>
                    </pic:cNvPicPr>
                  </pic:nvPicPr>
                  <pic:blipFill>
                    <a:blip r:embed="rId10" cstate="print"/>
                    <a:srcRect/>
                    <a:stretch>
                      <a:fillRect/>
                    </a:stretch>
                  </pic:blipFill>
                  <pic:spPr bwMode="auto">
                    <a:xfrm>
                      <a:off x="0" y="0"/>
                      <a:ext cx="580390" cy="584835"/>
                    </a:xfrm>
                    <a:prstGeom prst="rect">
                      <a:avLst/>
                    </a:prstGeom>
                    <a:noFill/>
                    <a:ln w="9525">
                      <a:noFill/>
                      <a:miter lim="800000"/>
                      <a:headEnd/>
                      <a:tailEnd/>
                    </a:ln>
                  </pic:spPr>
                </pic:pic>
              </a:graphicData>
            </a:graphic>
          </wp:anchor>
        </w:drawing>
      </w:r>
    </w:p>
    <w:p w:rsidR="000D47B9" w:rsidRDefault="0052593A" w:rsidP="000D47B9">
      <w:pPr>
        <w:pStyle w:val="Kopfzeile"/>
        <w:tabs>
          <w:tab w:val="clear" w:pos="4536"/>
          <w:tab w:val="clear" w:pos="9072"/>
        </w:tabs>
        <w:snapToGrid w:val="0"/>
        <w:jc w:val="both"/>
        <w:rPr>
          <w:rFonts w:asciiTheme="minorHAnsi" w:hAnsiTheme="minorHAnsi" w:cstheme="minorHAnsi"/>
          <w:sz w:val="22"/>
          <w:szCs w:val="22"/>
        </w:rPr>
      </w:pPr>
      <w:r w:rsidRPr="00B2326F">
        <w:rPr>
          <w:rFonts w:asciiTheme="minorHAnsi" w:hAnsiTheme="minorHAnsi" w:cstheme="minorHAnsi"/>
          <w:sz w:val="22"/>
          <w:szCs w:val="22"/>
        </w:rPr>
        <w:t xml:space="preserve">Text </w:t>
      </w:r>
      <w:r w:rsidR="00E020FE">
        <w:rPr>
          <w:rFonts w:asciiTheme="minorHAnsi" w:hAnsiTheme="minorHAnsi" w:cstheme="minorHAnsi"/>
          <w:sz w:val="22"/>
          <w:szCs w:val="22"/>
        </w:rPr>
        <w:t>ca. 1.435</w:t>
      </w:r>
      <w:r w:rsidR="002A2ED5">
        <w:rPr>
          <w:rFonts w:asciiTheme="minorHAnsi" w:hAnsiTheme="minorHAnsi" w:cstheme="minorHAnsi"/>
          <w:sz w:val="22"/>
          <w:szCs w:val="22"/>
        </w:rPr>
        <w:t xml:space="preserve"> Zeichen</w:t>
      </w:r>
      <w:r w:rsidR="000D47B9" w:rsidRPr="00B2326F">
        <w:rPr>
          <w:rFonts w:asciiTheme="minorHAnsi" w:hAnsiTheme="minorHAnsi" w:cstheme="minorHAnsi"/>
          <w:sz w:val="22"/>
          <w:szCs w:val="22"/>
        </w:rPr>
        <w:t>, Abdruck honorarfrei * Beleg erbeten</w:t>
      </w:r>
    </w:p>
    <w:p w:rsidR="0058238F" w:rsidRDefault="0058238F" w:rsidP="000D47B9">
      <w:pPr>
        <w:pStyle w:val="Kopfzeile"/>
        <w:tabs>
          <w:tab w:val="clear" w:pos="4536"/>
          <w:tab w:val="clear" w:pos="9072"/>
        </w:tabs>
        <w:snapToGrid w:val="0"/>
        <w:jc w:val="both"/>
        <w:rPr>
          <w:rFonts w:asciiTheme="minorHAnsi" w:hAnsiTheme="minorHAnsi" w:cstheme="minorHAnsi"/>
          <w:sz w:val="22"/>
          <w:szCs w:val="22"/>
        </w:rPr>
      </w:pPr>
    </w:p>
    <w:p w:rsidR="0058238F" w:rsidRPr="00771C80" w:rsidRDefault="0058238F" w:rsidP="0058238F">
      <w:pPr>
        <w:pStyle w:val="Kopfzeile"/>
        <w:tabs>
          <w:tab w:val="clear" w:pos="4536"/>
          <w:tab w:val="clear" w:pos="9072"/>
        </w:tabs>
        <w:snapToGrid w:val="0"/>
        <w:jc w:val="both"/>
        <w:rPr>
          <w:rFonts w:cs="Arial"/>
          <w:b/>
          <w:color w:val="000000"/>
          <w:sz w:val="18"/>
          <w:szCs w:val="18"/>
        </w:rPr>
      </w:pPr>
      <w:r w:rsidRPr="00771C80">
        <w:rPr>
          <w:rFonts w:cs="Arial"/>
          <w:b/>
          <w:sz w:val="18"/>
          <w:szCs w:val="18"/>
        </w:rPr>
        <w:t>Text und Bild zum Download auch unter http://www.warrlich.eu/presse</w:t>
      </w:r>
    </w:p>
    <w:p w:rsidR="0058238F" w:rsidRPr="00B2326F" w:rsidRDefault="0058238F" w:rsidP="000D47B9">
      <w:pPr>
        <w:pStyle w:val="Kopfzeile"/>
        <w:tabs>
          <w:tab w:val="clear" w:pos="4536"/>
          <w:tab w:val="clear" w:pos="9072"/>
        </w:tabs>
        <w:snapToGrid w:val="0"/>
        <w:jc w:val="both"/>
        <w:rPr>
          <w:rFonts w:asciiTheme="minorHAnsi" w:hAnsiTheme="minorHAnsi" w:cstheme="minorHAnsi"/>
          <w:sz w:val="22"/>
          <w:szCs w:val="22"/>
        </w:rPr>
      </w:pPr>
    </w:p>
    <w:p w:rsidR="00B2326F" w:rsidRPr="00B2326F" w:rsidRDefault="00B2326F" w:rsidP="000D47B9">
      <w:pPr>
        <w:pStyle w:val="Kopfzeile"/>
        <w:tabs>
          <w:tab w:val="clear" w:pos="4536"/>
          <w:tab w:val="clear" w:pos="9072"/>
        </w:tabs>
        <w:snapToGrid w:val="0"/>
        <w:jc w:val="both"/>
        <w:rPr>
          <w:rFonts w:asciiTheme="minorHAnsi" w:hAnsiTheme="minorHAnsi" w:cstheme="minorHAnsi"/>
          <w:color w:val="000000"/>
          <w:sz w:val="22"/>
          <w:szCs w:val="22"/>
        </w:rPr>
      </w:pPr>
      <w:r w:rsidRPr="00B2326F">
        <w:rPr>
          <w:rStyle w:val="apple-tab-span"/>
          <w:rFonts w:asciiTheme="minorHAnsi" w:eastAsia="Times New Roman" w:hAnsiTheme="minorHAnsi" w:cstheme="minorHAnsi"/>
          <w:sz w:val="22"/>
          <w:szCs w:val="22"/>
        </w:rPr>
        <w:tab/>
      </w:r>
    </w:p>
    <w:sectPr w:rsidR="00B2326F" w:rsidRPr="00B2326F" w:rsidSect="0035334C">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1C77" w:rsidRDefault="00F61C77" w:rsidP="00E72E5C">
      <w:pPr>
        <w:spacing w:after="0" w:line="240" w:lineRule="auto"/>
      </w:pPr>
      <w:r>
        <w:separator/>
      </w:r>
    </w:p>
  </w:endnote>
  <w:endnote w:type="continuationSeparator" w:id="0">
    <w:p w:rsidR="00F61C77" w:rsidRDefault="00F61C77" w:rsidP="00E72E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UET Sans">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2E5C" w:rsidRDefault="00DD1E3B" w:rsidP="00E72E5C">
    <w:pPr>
      <w:pStyle w:val="Fuzeile"/>
      <w:jc w:val="center"/>
      <w:rPr>
        <w:sz w:val="18"/>
        <w:szCs w:val="18"/>
      </w:rPr>
    </w:pPr>
    <w:r>
      <w:rPr>
        <w:sz w:val="18"/>
        <w:szCs w:val="18"/>
      </w:rPr>
      <w:t>Carl Warrlich GmbH</w:t>
    </w:r>
  </w:p>
  <w:p w:rsidR="00DD1E3B" w:rsidRDefault="00DD1E3B" w:rsidP="00E72E5C">
    <w:pPr>
      <w:pStyle w:val="Fuzeile"/>
      <w:jc w:val="center"/>
      <w:rPr>
        <w:sz w:val="18"/>
        <w:szCs w:val="18"/>
      </w:rPr>
    </w:pPr>
    <w:proofErr w:type="spellStart"/>
    <w:r>
      <w:rPr>
        <w:sz w:val="18"/>
        <w:szCs w:val="18"/>
      </w:rPr>
      <w:t>Falkener</w:t>
    </w:r>
    <w:proofErr w:type="spellEnd"/>
    <w:r>
      <w:rPr>
        <w:sz w:val="18"/>
        <w:szCs w:val="18"/>
      </w:rPr>
      <w:t xml:space="preserve"> Landstraße 9, 99830 Treffurt</w:t>
    </w:r>
  </w:p>
  <w:p w:rsidR="00DD1E3B" w:rsidRDefault="00DD1E3B" w:rsidP="00E72E5C">
    <w:pPr>
      <w:pStyle w:val="Fuzeile"/>
      <w:jc w:val="center"/>
      <w:rPr>
        <w:sz w:val="18"/>
        <w:szCs w:val="18"/>
      </w:rPr>
    </w:pPr>
    <w:r>
      <w:rPr>
        <w:sz w:val="18"/>
        <w:szCs w:val="18"/>
      </w:rPr>
      <w:t>Telefon +49 (0) 3 69 23/529-0</w:t>
    </w:r>
  </w:p>
  <w:p w:rsidR="00DD1E3B" w:rsidRPr="000D220E" w:rsidRDefault="00E969C0" w:rsidP="00E72E5C">
    <w:pPr>
      <w:pStyle w:val="Fuzeile"/>
      <w:jc w:val="center"/>
      <w:rPr>
        <w:sz w:val="18"/>
        <w:szCs w:val="18"/>
      </w:rPr>
    </w:pPr>
    <w:r>
      <w:rPr>
        <w:sz w:val="18"/>
        <w:szCs w:val="18"/>
      </w:rPr>
      <w:t>E-Mail: carl@warrlich.eu</w:t>
    </w:r>
  </w:p>
  <w:p w:rsidR="00E72E5C" w:rsidRPr="00E72E5C" w:rsidRDefault="00E72E5C">
    <w:pPr>
      <w:pStyle w:val="Fuzeile"/>
      <w:rPr>
        <w:color w:val="262626" w:themeColor="text1" w:themeTint="D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1C77" w:rsidRDefault="00F61C77" w:rsidP="00E72E5C">
      <w:pPr>
        <w:spacing w:after="0" w:line="240" w:lineRule="auto"/>
      </w:pPr>
      <w:r>
        <w:separator/>
      </w:r>
    </w:p>
  </w:footnote>
  <w:footnote w:type="continuationSeparator" w:id="0">
    <w:p w:rsidR="00F61C77" w:rsidRDefault="00F61C77" w:rsidP="00E72E5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2AE"/>
    <w:rsid w:val="00003DA8"/>
    <w:rsid w:val="00005328"/>
    <w:rsid w:val="00030304"/>
    <w:rsid w:val="00060239"/>
    <w:rsid w:val="00061461"/>
    <w:rsid w:val="00072FF3"/>
    <w:rsid w:val="000762AE"/>
    <w:rsid w:val="000B7241"/>
    <w:rsid w:val="000D220E"/>
    <w:rsid w:val="000D47B9"/>
    <w:rsid w:val="00102480"/>
    <w:rsid w:val="00106C87"/>
    <w:rsid w:val="001170D0"/>
    <w:rsid w:val="00124833"/>
    <w:rsid w:val="0013084D"/>
    <w:rsid w:val="00137DE5"/>
    <w:rsid w:val="001403B2"/>
    <w:rsid w:val="00146AB0"/>
    <w:rsid w:val="001524FE"/>
    <w:rsid w:val="00167B37"/>
    <w:rsid w:val="001D1FB2"/>
    <w:rsid w:val="001D787A"/>
    <w:rsid w:val="001F1CE9"/>
    <w:rsid w:val="00203204"/>
    <w:rsid w:val="00205A8A"/>
    <w:rsid w:val="0021408D"/>
    <w:rsid w:val="0021537D"/>
    <w:rsid w:val="00226D09"/>
    <w:rsid w:val="00261217"/>
    <w:rsid w:val="002A01BC"/>
    <w:rsid w:val="002A2ED5"/>
    <w:rsid w:val="002B7FA6"/>
    <w:rsid w:val="002D15BE"/>
    <w:rsid w:val="0032061A"/>
    <w:rsid w:val="0035334C"/>
    <w:rsid w:val="0037304E"/>
    <w:rsid w:val="003B086E"/>
    <w:rsid w:val="003D19BD"/>
    <w:rsid w:val="003F2AC7"/>
    <w:rsid w:val="003F69BB"/>
    <w:rsid w:val="00415EA4"/>
    <w:rsid w:val="00440A42"/>
    <w:rsid w:val="004517FC"/>
    <w:rsid w:val="00462DEC"/>
    <w:rsid w:val="0048663E"/>
    <w:rsid w:val="004C4CEF"/>
    <w:rsid w:val="004D4504"/>
    <w:rsid w:val="004F1C13"/>
    <w:rsid w:val="004F22AB"/>
    <w:rsid w:val="004F7F5A"/>
    <w:rsid w:val="0052593A"/>
    <w:rsid w:val="005626FC"/>
    <w:rsid w:val="005646A9"/>
    <w:rsid w:val="0056682C"/>
    <w:rsid w:val="00574C3E"/>
    <w:rsid w:val="0058238F"/>
    <w:rsid w:val="005921F6"/>
    <w:rsid w:val="005D5A9D"/>
    <w:rsid w:val="005E0217"/>
    <w:rsid w:val="005F0C96"/>
    <w:rsid w:val="00617490"/>
    <w:rsid w:val="006206F6"/>
    <w:rsid w:val="00622CEA"/>
    <w:rsid w:val="00655BE4"/>
    <w:rsid w:val="00680447"/>
    <w:rsid w:val="006A3885"/>
    <w:rsid w:val="006B5E75"/>
    <w:rsid w:val="006F52CE"/>
    <w:rsid w:val="0071457B"/>
    <w:rsid w:val="007200CD"/>
    <w:rsid w:val="00722F2E"/>
    <w:rsid w:val="00751FAA"/>
    <w:rsid w:val="00762931"/>
    <w:rsid w:val="007825B1"/>
    <w:rsid w:val="007B0834"/>
    <w:rsid w:val="007D0BC6"/>
    <w:rsid w:val="007E190B"/>
    <w:rsid w:val="007E56A0"/>
    <w:rsid w:val="007E62AF"/>
    <w:rsid w:val="0081555E"/>
    <w:rsid w:val="008406F7"/>
    <w:rsid w:val="008766FD"/>
    <w:rsid w:val="00881356"/>
    <w:rsid w:val="008A26AC"/>
    <w:rsid w:val="008D7BC2"/>
    <w:rsid w:val="00951F90"/>
    <w:rsid w:val="009837D7"/>
    <w:rsid w:val="0099335A"/>
    <w:rsid w:val="009B3A46"/>
    <w:rsid w:val="009C3D16"/>
    <w:rsid w:val="009D40C9"/>
    <w:rsid w:val="00A04205"/>
    <w:rsid w:val="00A700DF"/>
    <w:rsid w:val="00A930CC"/>
    <w:rsid w:val="00AB504A"/>
    <w:rsid w:val="00AE452F"/>
    <w:rsid w:val="00B213DA"/>
    <w:rsid w:val="00B2326F"/>
    <w:rsid w:val="00B75CA4"/>
    <w:rsid w:val="00B777D5"/>
    <w:rsid w:val="00B82EBA"/>
    <w:rsid w:val="00B83444"/>
    <w:rsid w:val="00BA1D9B"/>
    <w:rsid w:val="00BB1711"/>
    <w:rsid w:val="00BB76A4"/>
    <w:rsid w:val="00BE7CA2"/>
    <w:rsid w:val="00C361DE"/>
    <w:rsid w:val="00C51118"/>
    <w:rsid w:val="00C755E7"/>
    <w:rsid w:val="00C83BF4"/>
    <w:rsid w:val="00CA3D27"/>
    <w:rsid w:val="00CC4163"/>
    <w:rsid w:val="00CD5A1A"/>
    <w:rsid w:val="00CF2710"/>
    <w:rsid w:val="00CF74B2"/>
    <w:rsid w:val="00D12F84"/>
    <w:rsid w:val="00DD1E3B"/>
    <w:rsid w:val="00DD3EC0"/>
    <w:rsid w:val="00DD4D88"/>
    <w:rsid w:val="00DD6FA5"/>
    <w:rsid w:val="00DE7EA9"/>
    <w:rsid w:val="00E020FE"/>
    <w:rsid w:val="00E26641"/>
    <w:rsid w:val="00E31397"/>
    <w:rsid w:val="00E55CE5"/>
    <w:rsid w:val="00E61307"/>
    <w:rsid w:val="00E72E5C"/>
    <w:rsid w:val="00E74779"/>
    <w:rsid w:val="00E85D53"/>
    <w:rsid w:val="00E969C0"/>
    <w:rsid w:val="00EE39A8"/>
    <w:rsid w:val="00F00C6B"/>
    <w:rsid w:val="00F06814"/>
    <w:rsid w:val="00F510FE"/>
    <w:rsid w:val="00F61C77"/>
    <w:rsid w:val="00F77D52"/>
    <w:rsid w:val="00FF378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1CD3D3"/>
  <w15:docId w15:val="{24DC9008-CA76-4CE8-BF8B-1115D5787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5334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762A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762AE"/>
    <w:rPr>
      <w:rFonts w:ascii="Tahoma" w:hAnsi="Tahoma" w:cs="Tahoma"/>
      <w:sz w:val="16"/>
      <w:szCs w:val="16"/>
    </w:rPr>
  </w:style>
  <w:style w:type="paragraph" w:styleId="Kopfzeile">
    <w:name w:val="header"/>
    <w:basedOn w:val="Standard"/>
    <w:link w:val="KopfzeileZchn"/>
    <w:rsid w:val="00E72E5C"/>
    <w:pPr>
      <w:widowControl w:val="0"/>
      <w:tabs>
        <w:tab w:val="center" w:pos="4536"/>
        <w:tab w:val="right" w:pos="9072"/>
      </w:tabs>
      <w:suppressAutoHyphens/>
      <w:spacing w:after="0" w:line="240" w:lineRule="auto"/>
    </w:pPr>
    <w:rPr>
      <w:rFonts w:ascii="Arial" w:eastAsia="Times" w:hAnsi="Arial" w:cs="Times"/>
      <w:sz w:val="24"/>
      <w:szCs w:val="20"/>
      <w:lang w:eastAsia="ar-SA"/>
    </w:rPr>
  </w:style>
  <w:style w:type="character" w:customStyle="1" w:styleId="KopfzeileZchn">
    <w:name w:val="Kopfzeile Zchn"/>
    <w:basedOn w:val="Absatz-Standardschriftart"/>
    <w:link w:val="Kopfzeile"/>
    <w:rsid w:val="00E72E5C"/>
    <w:rPr>
      <w:rFonts w:ascii="Arial" w:eastAsia="Times" w:hAnsi="Arial" w:cs="Times"/>
      <w:sz w:val="24"/>
      <w:szCs w:val="20"/>
      <w:lang w:eastAsia="ar-SA"/>
    </w:rPr>
  </w:style>
  <w:style w:type="character" w:styleId="Hyperlink">
    <w:name w:val="Hyperlink"/>
    <w:basedOn w:val="Absatz-Standardschriftart"/>
    <w:uiPriority w:val="99"/>
    <w:unhideWhenUsed/>
    <w:rsid w:val="00E72E5C"/>
    <w:rPr>
      <w:color w:val="0000FF" w:themeColor="hyperlink"/>
      <w:u w:val="single"/>
    </w:rPr>
  </w:style>
  <w:style w:type="character" w:customStyle="1" w:styleId="WW8Num2z0">
    <w:name w:val="WW8Num2z0"/>
    <w:rsid w:val="00E72E5C"/>
    <w:rPr>
      <w:rFonts w:ascii="SUET Sans" w:eastAsia="Times" w:hAnsi="SUET Sans" w:cs="Times New Roman"/>
      <w:b w:val="0"/>
      <w:sz w:val="24"/>
    </w:rPr>
  </w:style>
  <w:style w:type="paragraph" w:styleId="Fuzeile">
    <w:name w:val="footer"/>
    <w:basedOn w:val="Standard"/>
    <w:link w:val="FuzeileZchn"/>
    <w:uiPriority w:val="99"/>
    <w:unhideWhenUsed/>
    <w:rsid w:val="00E72E5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72E5C"/>
  </w:style>
  <w:style w:type="character" w:customStyle="1" w:styleId="apple-converted-space">
    <w:name w:val="apple-converted-space"/>
    <w:basedOn w:val="Absatz-Standardschriftart"/>
    <w:rsid w:val="00574C3E"/>
  </w:style>
  <w:style w:type="character" w:styleId="Fett">
    <w:name w:val="Strong"/>
    <w:basedOn w:val="Absatz-Standardschriftart"/>
    <w:uiPriority w:val="22"/>
    <w:qFormat/>
    <w:rsid w:val="00A04205"/>
    <w:rPr>
      <w:b/>
      <w:bCs/>
    </w:rPr>
  </w:style>
  <w:style w:type="character" w:customStyle="1" w:styleId="apple-tab-span">
    <w:name w:val="apple-tab-span"/>
    <w:basedOn w:val="Absatz-Standardschriftart"/>
    <w:rsid w:val="00B232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9897799">
      <w:bodyDiv w:val="1"/>
      <w:marLeft w:val="0"/>
      <w:marRight w:val="0"/>
      <w:marTop w:val="0"/>
      <w:marBottom w:val="0"/>
      <w:divBdr>
        <w:top w:val="none" w:sz="0" w:space="0" w:color="auto"/>
        <w:left w:val="none" w:sz="0" w:space="0" w:color="auto"/>
        <w:bottom w:val="none" w:sz="0" w:space="0" w:color="auto"/>
        <w:right w:val="none" w:sz="0" w:space="0" w:color="auto"/>
      </w:divBdr>
    </w:div>
    <w:div w:id="1329477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rrlich.e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D0A228-1435-4564-A3DE-907A441D0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316</Words>
  <Characters>1992</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Heike Bruchertseifer</dc:creator>
  <cp:lastModifiedBy>heike.bruchertseifer@brainchain.ch</cp:lastModifiedBy>
  <cp:revision>2</cp:revision>
  <cp:lastPrinted>2016-07-29T15:00:00Z</cp:lastPrinted>
  <dcterms:created xsi:type="dcterms:W3CDTF">2017-07-21T07:52:00Z</dcterms:created>
  <dcterms:modified xsi:type="dcterms:W3CDTF">2017-07-21T07:52:00Z</dcterms:modified>
</cp:coreProperties>
</file>